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3E3" w:rsidRPr="00591712" w:rsidRDefault="00D46A75" w:rsidP="00487D97">
      <w:pPr>
        <w:pStyle w:val="Title"/>
      </w:pPr>
      <w:r w:rsidRPr="00591712">
        <w:t>Investor-Compensation Schemes Directive</w:t>
      </w:r>
      <w:r w:rsidR="000708A1">
        <w:t xml:space="preserve"> (ICSD)</w:t>
      </w:r>
    </w:p>
    <w:p w:rsidR="00EC7E6B" w:rsidRPr="00591712" w:rsidRDefault="00D46A75" w:rsidP="00487D97">
      <w:pPr>
        <w:pStyle w:val="Dossiernaam"/>
      </w:pPr>
      <w:r w:rsidRPr="00591712">
        <w:t>BHB 3</w:t>
      </w:r>
    </w:p>
    <w:p w:rsidR="003413E3" w:rsidRPr="00591712" w:rsidRDefault="00D46A75" w:rsidP="00487D97">
      <w:pPr>
        <w:pStyle w:val="Subtitle"/>
      </w:pPr>
      <w:r w:rsidRPr="00591712">
        <w:t>Call for evidence European Commission</w:t>
      </w:r>
      <w:r w:rsidR="009D7C03" w:rsidRPr="00591712">
        <w:t xml:space="preserve"> </w:t>
      </w:r>
      <w:r w:rsidR="00AE356D">
        <w:br/>
      </w:r>
      <w:proofErr w:type="spellStart"/>
      <w:r w:rsidR="00AE356D">
        <w:t>Febelfin</w:t>
      </w:r>
      <w:proofErr w:type="spellEnd"/>
      <w:r w:rsidR="008C1E6A">
        <w:t xml:space="preserve"> contribution</w:t>
      </w:r>
      <w:r w:rsidR="00316EFE">
        <w:t xml:space="preserve"> – Register ID : 1938561921-91</w:t>
      </w:r>
    </w:p>
    <w:p w:rsidR="00973BCF" w:rsidRPr="00591712" w:rsidRDefault="00973BCF" w:rsidP="00D46A75">
      <w:pPr>
        <w:pStyle w:val="Summary"/>
        <w:rPr>
          <w:lang w:val="en-US"/>
        </w:rPr>
      </w:pPr>
    </w:p>
    <w:p w:rsidR="00347E20" w:rsidRPr="008C1E6A" w:rsidRDefault="008C1E6A" w:rsidP="00075F85">
      <w:pPr>
        <w:rPr>
          <w:lang w:val="en-US"/>
        </w:rPr>
      </w:pPr>
      <w:r w:rsidRPr="008C1E6A">
        <w:rPr>
          <w:lang w:val="en-US"/>
        </w:rPr>
        <w:t xml:space="preserve">In spite of the fact that the </w:t>
      </w:r>
      <w:r w:rsidR="00D46A75" w:rsidRPr="008C1E6A">
        <w:rPr>
          <w:b/>
          <w:lang w:val="en-US"/>
        </w:rPr>
        <w:t>European Banking Federation (EBF)</w:t>
      </w:r>
      <w:r w:rsidRPr="008C1E6A">
        <w:rPr>
          <w:lang w:val="en-US"/>
        </w:rPr>
        <w:t xml:space="preserve"> has made a reply</w:t>
      </w:r>
      <w:r w:rsidRPr="008C1E6A">
        <w:rPr>
          <w:b/>
          <w:lang w:val="en-US"/>
        </w:rPr>
        <w:t>, on behalf of the European banking sector as a whole</w:t>
      </w:r>
      <w:r w:rsidR="00D46A75" w:rsidRPr="008C1E6A">
        <w:rPr>
          <w:b/>
          <w:lang w:val="en-US"/>
        </w:rPr>
        <w:t>,</w:t>
      </w:r>
      <w:r w:rsidR="00D46A75" w:rsidRPr="008C1E6A">
        <w:rPr>
          <w:lang w:val="en-US"/>
        </w:rPr>
        <w:t xml:space="preserve"> </w:t>
      </w:r>
      <w:proofErr w:type="spellStart"/>
      <w:r w:rsidR="00D46A75" w:rsidRPr="008C1E6A">
        <w:rPr>
          <w:b/>
          <w:lang w:val="en-US"/>
        </w:rPr>
        <w:t>Febelfin</w:t>
      </w:r>
      <w:proofErr w:type="spellEnd"/>
      <w:r w:rsidR="00D46A75" w:rsidRPr="008C1E6A">
        <w:rPr>
          <w:b/>
          <w:lang w:val="en-US"/>
        </w:rPr>
        <w:t xml:space="preserve"> </w:t>
      </w:r>
      <w:r w:rsidRPr="008C1E6A">
        <w:rPr>
          <w:b/>
          <w:lang w:val="en-US"/>
        </w:rPr>
        <w:t>–</w:t>
      </w:r>
      <w:r w:rsidR="00C87C9D" w:rsidRPr="008C1E6A">
        <w:rPr>
          <w:b/>
          <w:lang w:val="en-US"/>
        </w:rPr>
        <w:t xml:space="preserve"> </w:t>
      </w:r>
      <w:r w:rsidRPr="008C1E6A">
        <w:rPr>
          <w:b/>
          <w:lang w:val="en-US"/>
        </w:rPr>
        <w:t>the Belgian Financial Sector Federation</w:t>
      </w:r>
      <w:r w:rsidR="00C87C9D" w:rsidRPr="008C1E6A">
        <w:rPr>
          <w:b/>
          <w:lang w:val="en-US"/>
        </w:rPr>
        <w:t xml:space="preserve">, </w:t>
      </w:r>
      <w:r w:rsidRPr="008C1E6A">
        <w:rPr>
          <w:b/>
          <w:lang w:val="en-US"/>
        </w:rPr>
        <w:t xml:space="preserve">including the Belgian </w:t>
      </w:r>
      <w:r>
        <w:rPr>
          <w:b/>
          <w:lang w:val="en-US"/>
        </w:rPr>
        <w:t>B</w:t>
      </w:r>
      <w:r w:rsidRPr="008C1E6A">
        <w:rPr>
          <w:b/>
          <w:lang w:val="en-US"/>
        </w:rPr>
        <w:t xml:space="preserve">ankers’ </w:t>
      </w:r>
      <w:r>
        <w:rPr>
          <w:b/>
          <w:lang w:val="en-US"/>
        </w:rPr>
        <w:t xml:space="preserve">and </w:t>
      </w:r>
      <w:proofErr w:type="spellStart"/>
      <w:r>
        <w:rPr>
          <w:b/>
          <w:lang w:val="en-US"/>
        </w:rPr>
        <w:t>Stockbroking</w:t>
      </w:r>
      <w:proofErr w:type="spellEnd"/>
      <w:r>
        <w:rPr>
          <w:b/>
          <w:lang w:val="en-US"/>
        </w:rPr>
        <w:t xml:space="preserve"> Firms’ Association</w:t>
      </w:r>
      <w:r w:rsidR="008E1E12">
        <w:rPr>
          <w:b/>
          <w:lang w:val="en-US"/>
        </w:rPr>
        <w:t xml:space="preserve"> as well as the Belgian Asset Managers Association</w:t>
      </w:r>
      <w:r w:rsidR="00C87C9D" w:rsidRPr="008C1E6A">
        <w:rPr>
          <w:b/>
          <w:lang w:val="en-US"/>
        </w:rPr>
        <w:t xml:space="preserve"> </w:t>
      </w:r>
      <w:r>
        <w:rPr>
          <w:b/>
          <w:lang w:val="en-US"/>
        </w:rPr>
        <w:t>–</w:t>
      </w:r>
      <w:r w:rsidR="00C87C9D" w:rsidRPr="008C1E6A">
        <w:rPr>
          <w:b/>
          <w:lang w:val="en-US"/>
        </w:rPr>
        <w:t xml:space="preserve"> </w:t>
      </w:r>
      <w:r>
        <w:rPr>
          <w:b/>
          <w:lang w:val="en-US"/>
        </w:rPr>
        <w:t>wants to make its own contribution</w:t>
      </w:r>
      <w:r w:rsidR="00D46A75" w:rsidRPr="008C1E6A">
        <w:rPr>
          <w:lang w:val="en-US"/>
        </w:rPr>
        <w:t>. N</w:t>
      </w:r>
      <w:r w:rsidRPr="008C1E6A">
        <w:rPr>
          <w:lang w:val="en-US"/>
        </w:rPr>
        <w:t xml:space="preserve">evertheless, </w:t>
      </w:r>
      <w:proofErr w:type="spellStart"/>
      <w:r w:rsidR="00D46A75" w:rsidRPr="008C1E6A">
        <w:rPr>
          <w:lang w:val="en-US"/>
        </w:rPr>
        <w:t>Febelfin</w:t>
      </w:r>
      <w:proofErr w:type="spellEnd"/>
      <w:r w:rsidR="00D46A75" w:rsidRPr="008C1E6A">
        <w:rPr>
          <w:lang w:val="en-US"/>
        </w:rPr>
        <w:t xml:space="preserve"> </w:t>
      </w:r>
      <w:r w:rsidRPr="008C1E6A">
        <w:rPr>
          <w:lang w:val="en-US"/>
        </w:rPr>
        <w:t xml:space="preserve">would like to point out that </w:t>
      </w:r>
      <w:r w:rsidRPr="008C1E6A">
        <w:rPr>
          <w:b/>
          <w:lang w:val="en-US"/>
        </w:rPr>
        <w:t>it can share the points of view of the EBF</w:t>
      </w:r>
      <w:r>
        <w:rPr>
          <w:b/>
          <w:lang w:val="en-US"/>
        </w:rPr>
        <w:t xml:space="preserve"> to a large extent</w:t>
      </w:r>
      <w:r w:rsidR="00DC51FE" w:rsidRPr="008C1E6A">
        <w:rPr>
          <w:lang w:val="en-US"/>
        </w:rPr>
        <w:t xml:space="preserve"> </w:t>
      </w:r>
      <w:r>
        <w:rPr>
          <w:lang w:val="en-US"/>
        </w:rPr>
        <w:t>and that it also has made an active contribution to them</w:t>
      </w:r>
      <w:r w:rsidR="00D46A75" w:rsidRPr="008C1E6A">
        <w:rPr>
          <w:lang w:val="en-US"/>
        </w:rPr>
        <w:t xml:space="preserve">. </w:t>
      </w:r>
    </w:p>
    <w:p w:rsidR="00D46A75" w:rsidRPr="008C1E6A" w:rsidRDefault="008C1E6A" w:rsidP="00075F85">
      <w:pPr>
        <w:rPr>
          <w:lang w:val="en-US"/>
        </w:rPr>
      </w:pPr>
      <w:r w:rsidRPr="008C1E6A">
        <w:rPr>
          <w:b/>
          <w:lang w:val="en-US"/>
        </w:rPr>
        <w:t>In general</w:t>
      </w:r>
      <w:r w:rsidRPr="008C1E6A">
        <w:rPr>
          <w:lang w:val="en-US"/>
        </w:rPr>
        <w:t>,</w:t>
      </w:r>
      <w:r w:rsidR="00D46A75" w:rsidRPr="008C1E6A">
        <w:rPr>
          <w:lang w:val="en-US"/>
        </w:rPr>
        <w:t xml:space="preserve"> </w:t>
      </w:r>
      <w:proofErr w:type="spellStart"/>
      <w:r w:rsidR="00D46A75" w:rsidRPr="008C1E6A">
        <w:rPr>
          <w:lang w:val="en-US"/>
        </w:rPr>
        <w:t>Febelfin</w:t>
      </w:r>
      <w:proofErr w:type="spellEnd"/>
      <w:r w:rsidR="00D46A75" w:rsidRPr="008C1E6A">
        <w:rPr>
          <w:lang w:val="en-US"/>
        </w:rPr>
        <w:t xml:space="preserve"> </w:t>
      </w:r>
      <w:r w:rsidRPr="008C1E6A">
        <w:rPr>
          <w:lang w:val="en-US"/>
        </w:rPr>
        <w:t xml:space="preserve">fully endorses the following </w:t>
      </w:r>
      <w:r w:rsidR="00DC51FE" w:rsidRPr="008C1E6A">
        <w:rPr>
          <w:b/>
          <w:lang w:val="en-US"/>
        </w:rPr>
        <w:t>tw</w:t>
      </w:r>
      <w:r w:rsidRPr="008C1E6A">
        <w:rPr>
          <w:b/>
          <w:lang w:val="en-US"/>
        </w:rPr>
        <w:t>o</w:t>
      </w:r>
      <w:r w:rsidR="00DC51FE" w:rsidRPr="008C1E6A">
        <w:rPr>
          <w:b/>
          <w:lang w:val="en-US"/>
        </w:rPr>
        <w:t xml:space="preserve"> fundament</w:t>
      </w:r>
      <w:r w:rsidRPr="008C1E6A">
        <w:rPr>
          <w:b/>
          <w:lang w:val="en-US"/>
        </w:rPr>
        <w:t xml:space="preserve">al considerations </w:t>
      </w:r>
      <w:r w:rsidRPr="008C1E6A">
        <w:rPr>
          <w:lang w:val="en-US"/>
        </w:rPr>
        <w:t xml:space="preserve">brought forward by the </w:t>
      </w:r>
      <w:r w:rsidR="00D46A75" w:rsidRPr="008C1E6A">
        <w:rPr>
          <w:lang w:val="en-US"/>
        </w:rPr>
        <w:t xml:space="preserve">EBF : </w:t>
      </w:r>
    </w:p>
    <w:p w:rsidR="00D46A75" w:rsidRPr="008C1E6A" w:rsidRDefault="008C1E6A" w:rsidP="00D46A75">
      <w:pPr>
        <w:pStyle w:val="ListParagraph"/>
        <w:numPr>
          <w:ilvl w:val="0"/>
          <w:numId w:val="14"/>
        </w:numPr>
        <w:rPr>
          <w:lang w:val="en-US"/>
        </w:rPr>
      </w:pPr>
      <w:r w:rsidRPr="008C1E6A">
        <w:rPr>
          <w:lang w:val="en-US"/>
        </w:rPr>
        <w:t>The</w:t>
      </w:r>
      <w:r w:rsidR="00D46A75" w:rsidRPr="008C1E6A">
        <w:rPr>
          <w:lang w:val="en-US"/>
        </w:rPr>
        <w:t xml:space="preserve"> </w:t>
      </w:r>
      <w:r w:rsidRPr="008C1E6A">
        <w:rPr>
          <w:b/>
          <w:lang w:val="en-US"/>
        </w:rPr>
        <w:t>fundamental aim</w:t>
      </w:r>
      <w:r w:rsidR="00D46A75" w:rsidRPr="008C1E6A">
        <w:rPr>
          <w:lang w:val="en-US"/>
        </w:rPr>
        <w:t xml:space="preserve"> </w:t>
      </w:r>
      <w:r w:rsidRPr="008C1E6A">
        <w:rPr>
          <w:lang w:val="en-US"/>
        </w:rPr>
        <w:t xml:space="preserve">of the investor protection system is to offer a </w:t>
      </w:r>
      <w:r w:rsidRPr="008C1E6A">
        <w:rPr>
          <w:b/>
          <w:lang w:val="en-US"/>
        </w:rPr>
        <w:t>minimum of protection</w:t>
      </w:r>
      <w:r w:rsidRPr="008C1E6A">
        <w:rPr>
          <w:lang w:val="en-US"/>
        </w:rPr>
        <w:t xml:space="preserve"> </w:t>
      </w:r>
      <w:r w:rsidRPr="008C1E6A">
        <w:rPr>
          <w:b/>
          <w:lang w:val="en-US"/>
        </w:rPr>
        <w:t>to</w:t>
      </w:r>
      <w:r w:rsidRPr="008C1E6A">
        <w:rPr>
          <w:lang w:val="en-US"/>
        </w:rPr>
        <w:t xml:space="preserve"> </w:t>
      </w:r>
      <w:r w:rsidRPr="008C1E6A">
        <w:rPr>
          <w:b/>
          <w:lang w:val="en-US"/>
        </w:rPr>
        <w:t>the</w:t>
      </w:r>
      <w:r w:rsidRPr="008C1E6A">
        <w:rPr>
          <w:lang w:val="en-US"/>
        </w:rPr>
        <w:t xml:space="preserve"> </w:t>
      </w:r>
      <w:r w:rsidR="00D46A75" w:rsidRPr="008C1E6A">
        <w:rPr>
          <w:lang w:val="en-US"/>
        </w:rPr>
        <w:t xml:space="preserve"> </w:t>
      </w:r>
      <w:r w:rsidR="00F2776C" w:rsidRPr="008C1E6A">
        <w:rPr>
          <w:b/>
          <w:lang w:val="en-US"/>
        </w:rPr>
        <w:t>‘</w:t>
      </w:r>
      <w:r w:rsidRPr="008C1E6A">
        <w:rPr>
          <w:b/>
          <w:lang w:val="en-US"/>
        </w:rPr>
        <w:t>ordinary</w:t>
      </w:r>
      <w:r w:rsidR="00F2776C" w:rsidRPr="008C1E6A">
        <w:rPr>
          <w:b/>
          <w:lang w:val="en-US"/>
        </w:rPr>
        <w:t>’</w:t>
      </w:r>
      <w:r w:rsidR="00D46A75" w:rsidRPr="008C1E6A">
        <w:rPr>
          <w:b/>
          <w:lang w:val="en-US"/>
        </w:rPr>
        <w:t xml:space="preserve"> </w:t>
      </w:r>
      <w:r w:rsidR="00F2776C" w:rsidRPr="008C1E6A">
        <w:rPr>
          <w:b/>
          <w:lang w:val="en-US"/>
        </w:rPr>
        <w:t>o</w:t>
      </w:r>
      <w:r w:rsidRPr="008C1E6A">
        <w:rPr>
          <w:b/>
          <w:lang w:val="en-US"/>
        </w:rPr>
        <w:t>r</w:t>
      </w:r>
      <w:r w:rsidR="00F2776C" w:rsidRPr="008C1E6A">
        <w:rPr>
          <w:b/>
          <w:lang w:val="en-US"/>
        </w:rPr>
        <w:t xml:space="preserve"> ‘</w:t>
      </w:r>
      <w:r w:rsidRPr="008C1E6A">
        <w:rPr>
          <w:b/>
          <w:lang w:val="en-US"/>
        </w:rPr>
        <w:t>small</w:t>
      </w:r>
      <w:r w:rsidR="00F2776C" w:rsidRPr="008C1E6A">
        <w:rPr>
          <w:b/>
          <w:lang w:val="en-US"/>
        </w:rPr>
        <w:t xml:space="preserve">’ </w:t>
      </w:r>
      <w:r w:rsidRPr="008C1E6A">
        <w:rPr>
          <w:b/>
          <w:lang w:val="en-US"/>
        </w:rPr>
        <w:t>investor</w:t>
      </w:r>
      <w:r w:rsidR="00477F94" w:rsidRPr="008C1E6A">
        <w:rPr>
          <w:lang w:val="en-US"/>
        </w:rPr>
        <w:t xml:space="preserve">, </w:t>
      </w:r>
      <w:r w:rsidRPr="008C1E6A">
        <w:rPr>
          <w:lang w:val="en-US"/>
        </w:rPr>
        <w:t xml:space="preserve">especially when the </w:t>
      </w:r>
      <w:r w:rsidRPr="008C1E6A">
        <w:rPr>
          <w:b/>
          <w:lang w:val="en-US"/>
        </w:rPr>
        <w:t xml:space="preserve">investment company or </w:t>
      </w:r>
      <w:r w:rsidR="00DC51FE" w:rsidRPr="008C1E6A">
        <w:rPr>
          <w:b/>
          <w:lang w:val="en-US"/>
        </w:rPr>
        <w:t>b</w:t>
      </w:r>
      <w:r w:rsidR="00477F94" w:rsidRPr="008C1E6A">
        <w:rPr>
          <w:b/>
          <w:lang w:val="en-US"/>
        </w:rPr>
        <w:t>ank</w:t>
      </w:r>
      <w:r w:rsidR="00477F94" w:rsidRPr="008C1E6A">
        <w:rPr>
          <w:lang w:val="en-US"/>
        </w:rPr>
        <w:t xml:space="preserve"> (</w:t>
      </w:r>
      <w:r w:rsidRPr="008C1E6A">
        <w:rPr>
          <w:lang w:val="en-US"/>
        </w:rPr>
        <w:t xml:space="preserve">if it offers </w:t>
      </w:r>
      <w:r>
        <w:rPr>
          <w:lang w:val="en-US"/>
        </w:rPr>
        <w:t>investment services</w:t>
      </w:r>
      <w:r w:rsidR="00477F94" w:rsidRPr="008C1E6A">
        <w:rPr>
          <w:lang w:val="en-US"/>
        </w:rPr>
        <w:t>)</w:t>
      </w:r>
      <w:r w:rsidR="00F2776C" w:rsidRPr="008C1E6A">
        <w:rPr>
          <w:lang w:val="en-US"/>
        </w:rPr>
        <w:t xml:space="preserve"> </w:t>
      </w:r>
      <w:r>
        <w:rPr>
          <w:b/>
          <w:lang w:val="en-US"/>
        </w:rPr>
        <w:t xml:space="preserve">fails to meet </w:t>
      </w:r>
      <w:r>
        <w:rPr>
          <w:lang w:val="en-US"/>
        </w:rPr>
        <w:t xml:space="preserve">its obligations towards the </w:t>
      </w:r>
      <w:r w:rsidR="008546E0">
        <w:rPr>
          <w:lang w:val="en-US"/>
        </w:rPr>
        <w:t>customer-investor</w:t>
      </w:r>
      <w:r w:rsidR="000452E1" w:rsidRPr="008C1E6A">
        <w:rPr>
          <w:lang w:val="en-US"/>
        </w:rPr>
        <w:t xml:space="preserve"> (</w:t>
      </w:r>
      <w:r w:rsidR="008546E0">
        <w:rPr>
          <w:lang w:val="en-US"/>
        </w:rPr>
        <w:t xml:space="preserve">especially, the </w:t>
      </w:r>
      <w:r w:rsidR="00D57133" w:rsidRPr="008C1E6A">
        <w:rPr>
          <w:b/>
          <w:lang w:val="en-US"/>
        </w:rPr>
        <w:t>re</w:t>
      </w:r>
      <w:r w:rsidR="008546E0">
        <w:rPr>
          <w:b/>
          <w:lang w:val="en-US"/>
        </w:rPr>
        <w:t>imbursement of financial instruments given as a deposit or registered on an account</w:t>
      </w:r>
      <w:r w:rsidR="00D57133" w:rsidRPr="008C1E6A">
        <w:rPr>
          <w:lang w:val="en-US"/>
        </w:rPr>
        <w:t xml:space="preserve">). </w:t>
      </w:r>
    </w:p>
    <w:p w:rsidR="00D57133" w:rsidRPr="0012651E" w:rsidRDefault="008546E0" w:rsidP="00D46A75">
      <w:pPr>
        <w:pStyle w:val="ListParagraph"/>
        <w:numPr>
          <w:ilvl w:val="0"/>
          <w:numId w:val="14"/>
        </w:numPr>
        <w:rPr>
          <w:lang w:val="en-US"/>
        </w:rPr>
      </w:pPr>
      <w:r w:rsidRPr="001C7A57">
        <w:rPr>
          <w:lang w:val="en-US"/>
        </w:rPr>
        <w:t>There are</w:t>
      </w:r>
      <w:r w:rsidR="00D57133" w:rsidRPr="001C7A57">
        <w:rPr>
          <w:lang w:val="en-US"/>
        </w:rPr>
        <w:t xml:space="preserve"> </w:t>
      </w:r>
      <w:r w:rsidR="001C7A57" w:rsidRPr="001C7A57">
        <w:rPr>
          <w:b/>
          <w:lang w:val="en-US"/>
        </w:rPr>
        <w:t xml:space="preserve">substantial differences between investor protection on the one hand and the protection of depositors </w:t>
      </w:r>
      <w:r w:rsidR="001C7A57">
        <w:rPr>
          <w:lang w:val="en-US"/>
        </w:rPr>
        <w:t>at credit institutions</w:t>
      </w:r>
      <w:r w:rsidR="00716090">
        <w:rPr>
          <w:lang w:val="en-US"/>
        </w:rPr>
        <w:t xml:space="preserve"> and investment firms</w:t>
      </w:r>
      <w:r w:rsidR="001C7A57" w:rsidRPr="001C7A57">
        <w:rPr>
          <w:b/>
          <w:lang w:val="en-US"/>
        </w:rPr>
        <w:t xml:space="preserve"> on the other hand</w:t>
      </w:r>
      <w:r w:rsidR="00D57133" w:rsidRPr="001C7A57">
        <w:rPr>
          <w:lang w:val="en-US"/>
        </w:rPr>
        <w:t xml:space="preserve">. In </w:t>
      </w:r>
      <w:r w:rsidR="001C7A57" w:rsidRPr="001C7A57">
        <w:rPr>
          <w:lang w:val="en-US"/>
        </w:rPr>
        <w:t>the first case and if an investment company goes bankrupt</w:t>
      </w:r>
      <w:r w:rsidR="00D57133" w:rsidRPr="001C7A57">
        <w:rPr>
          <w:lang w:val="en-US"/>
        </w:rPr>
        <w:t xml:space="preserve">, </w:t>
      </w:r>
      <w:r w:rsidR="001C7A57" w:rsidRPr="001C7A57">
        <w:rPr>
          <w:lang w:val="en-US"/>
        </w:rPr>
        <w:t xml:space="preserve">the </w:t>
      </w:r>
      <w:r w:rsidR="001C7A57">
        <w:rPr>
          <w:lang w:val="en-US"/>
        </w:rPr>
        <w:t>f</w:t>
      </w:r>
      <w:r w:rsidR="001C7A57" w:rsidRPr="001C7A57">
        <w:rPr>
          <w:lang w:val="en-US"/>
        </w:rPr>
        <w:t>inancial instruments</w:t>
      </w:r>
      <w:r w:rsidR="001C7A57">
        <w:rPr>
          <w:lang w:val="en-US"/>
        </w:rPr>
        <w:t xml:space="preserve"> that make up the deposit, are no part of the devolution of the estate</w:t>
      </w:r>
      <w:r w:rsidR="00D57133" w:rsidRPr="001C7A57">
        <w:rPr>
          <w:lang w:val="en-US"/>
        </w:rPr>
        <w:t xml:space="preserve">. </w:t>
      </w:r>
      <w:r w:rsidR="001C7A57" w:rsidRPr="001C7A57">
        <w:rPr>
          <w:lang w:val="en-US"/>
        </w:rPr>
        <w:t>The</w:t>
      </w:r>
      <w:r w:rsidR="00D57133" w:rsidRPr="001C7A57">
        <w:rPr>
          <w:lang w:val="en-US"/>
        </w:rPr>
        <w:t xml:space="preserve"> </w:t>
      </w:r>
      <w:r w:rsidR="00D57133" w:rsidRPr="001C7A57">
        <w:rPr>
          <w:b/>
          <w:lang w:val="en-US"/>
        </w:rPr>
        <w:t>c</w:t>
      </w:r>
      <w:r w:rsidR="001C7A57" w:rsidRPr="001C7A57">
        <w:rPr>
          <w:b/>
          <w:lang w:val="en-US"/>
        </w:rPr>
        <w:t>ustomer still is the owner of the securities involved and consequently, can make a direct claim on them</w:t>
      </w:r>
      <w:r w:rsidR="00D57133" w:rsidRPr="001C7A57">
        <w:rPr>
          <w:lang w:val="en-US"/>
        </w:rPr>
        <w:t xml:space="preserve">. </w:t>
      </w:r>
      <w:r w:rsidR="00122189">
        <w:rPr>
          <w:lang w:val="en-US"/>
        </w:rPr>
        <w:t>W</w:t>
      </w:r>
      <w:r w:rsidR="001C7A57">
        <w:rPr>
          <w:lang w:val="en-US"/>
        </w:rPr>
        <w:t xml:space="preserve">hen there </w:t>
      </w:r>
      <w:r w:rsidR="00122189">
        <w:rPr>
          <w:lang w:val="en-US"/>
        </w:rPr>
        <w:t>is a default in this claim,</w:t>
      </w:r>
      <w:r w:rsidR="001C7A57">
        <w:rPr>
          <w:lang w:val="en-US"/>
        </w:rPr>
        <w:t xml:space="preserve"> the i</w:t>
      </w:r>
      <w:r w:rsidR="00122189">
        <w:rPr>
          <w:lang w:val="en-US"/>
        </w:rPr>
        <w:t>nvestor protection actually has</w:t>
      </w:r>
      <w:r w:rsidR="001C7A57">
        <w:rPr>
          <w:lang w:val="en-US"/>
        </w:rPr>
        <w:t xml:space="preserve"> to offer protection</w:t>
      </w:r>
      <w:r w:rsidR="00D57133" w:rsidRPr="001C7A57">
        <w:rPr>
          <w:lang w:val="en-US"/>
        </w:rPr>
        <w:t xml:space="preserve">. </w:t>
      </w:r>
      <w:r w:rsidR="001C7A57" w:rsidRPr="001C7A57">
        <w:rPr>
          <w:lang w:val="en-US"/>
        </w:rPr>
        <w:t xml:space="preserve">Furthermore, within the </w:t>
      </w:r>
      <w:proofErr w:type="spellStart"/>
      <w:r w:rsidR="001C7A57" w:rsidRPr="001C7A57">
        <w:rPr>
          <w:lang w:val="en-US"/>
        </w:rPr>
        <w:t>MiFID</w:t>
      </w:r>
      <w:proofErr w:type="spellEnd"/>
      <w:r w:rsidR="001C7A57" w:rsidRPr="001C7A57">
        <w:rPr>
          <w:lang w:val="en-US"/>
        </w:rPr>
        <w:t xml:space="preserve">-framework, the customer-investor has the benefit of </w:t>
      </w:r>
      <w:r w:rsidR="00D57133" w:rsidRPr="001C7A57">
        <w:rPr>
          <w:lang w:val="en-US"/>
        </w:rPr>
        <w:t xml:space="preserve"> </w:t>
      </w:r>
      <w:r w:rsidR="001C7A57" w:rsidRPr="001C7A57">
        <w:rPr>
          <w:b/>
          <w:lang w:val="en-US"/>
        </w:rPr>
        <w:t>additional protection</w:t>
      </w:r>
      <w:r w:rsidR="001C7A57" w:rsidRPr="001C7A57">
        <w:rPr>
          <w:lang w:val="en-US"/>
        </w:rPr>
        <w:t>, in case of securities deposit or securities registering on an account</w:t>
      </w:r>
      <w:r w:rsidR="00D57133" w:rsidRPr="001C7A57">
        <w:rPr>
          <w:lang w:val="en-US"/>
        </w:rPr>
        <w:t xml:space="preserve">. </w:t>
      </w:r>
      <w:r w:rsidR="0012651E">
        <w:rPr>
          <w:lang w:val="en-US"/>
        </w:rPr>
        <w:t xml:space="preserve">In Belgium, these protection measures are strengthened within the framework of the </w:t>
      </w:r>
      <w:r w:rsidR="0012651E">
        <w:rPr>
          <w:b/>
          <w:lang w:val="en-US"/>
        </w:rPr>
        <w:t xml:space="preserve">legal process of securities </w:t>
      </w:r>
      <w:proofErr w:type="spellStart"/>
      <w:r w:rsidR="00D57133" w:rsidRPr="0012651E">
        <w:rPr>
          <w:b/>
          <w:lang w:val="en-US"/>
        </w:rPr>
        <w:t>dematerialis</w:t>
      </w:r>
      <w:r w:rsidR="0012651E">
        <w:rPr>
          <w:b/>
          <w:lang w:val="en-US"/>
        </w:rPr>
        <w:t>ation</w:t>
      </w:r>
      <w:proofErr w:type="spellEnd"/>
      <w:r w:rsidR="00D57133" w:rsidRPr="0012651E">
        <w:rPr>
          <w:lang w:val="en-US"/>
        </w:rPr>
        <w:t xml:space="preserve">, </w:t>
      </w:r>
      <w:r w:rsidR="0012651E">
        <w:rPr>
          <w:lang w:val="en-US"/>
        </w:rPr>
        <w:t xml:space="preserve">which will </w:t>
      </w:r>
      <w:r w:rsidR="00811C27">
        <w:rPr>
          <w:lang w:val="en-US"/>
        </w:rPr>
        <w:t>be completed</w:t>
      </w:r>
      <w:r w:rsidR="0012651E">
        <w:rPr>
          <w:lang w:val="en-US"/>
        </w:rPr>
        <w:t xml:space="preserve"> in </w:t>
      </w:r>
      <w:r w:rsidR="00CD3ACD" w:rsidRPr="0012651E">
        <w:rPr>
          <w:lang w:val="en-US"/>
        </w:rPr>
        <w:t xml:space="preserve">2013. </w:t>
      </w:r>
    </w:p>
    <w:p w:rsidR="00A86C37" w:rsidRPr="0012651E" w:rsidRDefault="0012651E" w:rsidP="00A86C37">
      <w:pPr>
        <w:rPr>
          <w:lang w:val="en-US"/>
        </w:rPr>
      </w:pPr>
      <w:r w:rsidRPr="0012651E">
        <w:rPr>
          <w:lang w:val="en-US"/>
        </w:rPr>
        <w:lastRenderedPageBreak/>
        <w:t xml:space="preserve">Apart from these general remarks, one can find </w:t>
      </w:r>
      <w:r w:rsidRPr="0012651E">
        <w:rPr>
          <w:b/>
          <w:lang w:val="en-US"/>
        </w:rPr>
        <w:t xml:space="preserve">below a number of considerations about the various questions </w:t>
      </w:r>
      <w:r w:rsidRPr="0012651E">
        <w:rPr>
          <w:lang w:val="en-US"/>
        </w:rPr>
        <w:t xml:space="preserve">from the </w:t>
      </w:r>
      <w:r w:rsidR="00A86C37" w:rsidRPr="0012651E">
        <w:rPr>
          <w:lang w:val="en-US"/>
        </w:rPr>
        <w:t>Europe</w:t>
      </w:r>
      <w:r w:rsidRPr="0012651E">
        <w:rPr>
          <w:lang w:val="en-US"/>
        </w:rPr>
        <w:t>an C</w:t>
      </w:r>
      <w:r w:rsidR="00A86C37" w:rsidRPr="0012651E">
        <w:rPr>
          <w:lang w:val="en-US"/>
        </w:rPr>
        <w:t>ommissi</w:t>
      </w:r>
      <w:r>
        <w:rPr>
          <w:lang w:val="en-US"/>
        </w:rPr>
        <w:t>on in its consultation d</w:t>
      </w:r>
      <w:r w:rsidR="00A86C37" w:rsidRPr="0012651E">
        <w:rPr>
          <w:lang w:val="en-US"/>
        </w:rPr>
        <w:t xml:space="preserve">ocument. </w:t>
      </w:r>
    </w:p>
    <w:p w:rsidR="00A86C37" w:rsidRPr="004A1FA1" w:rsidRDefault="002254E5" w:rsidP="002254E5">
      <w:pPr>
        <w:pStyle w:val="ListParagraph"/>
        <w:numPr>
          <w:ilvl w:val="0"/>
          <w:numId w:val="15"/>
        </w:numPr>
        <w:rPr>
          <w:b/>
          <w:i/>
          <w:lang w:val="en-US"/>
        </w:rPr>
      </w:pPr>
      <w:r w:rsidRPr="004A1FA1">
        <w:rPr>
          <w:b/>
          <w:i/>
          <w:lang w:val="en-US"/>
        </w:rPr>
        <w:t>Should the operation of multilateral trading facilities be excluded from the scope of the ICSD ?</w:t>
      </w:r>
    </w:p>
    <w:p w:rsidR="002254E5" w:rsidRPr="0012651E" w:rsidRDefault="0012651E" w:rsidP="002254E5">
      <w:pPr>
        <w:pStyle w:val="ListParagraph"/>
        <w:numPr>
          <w:ilvl w:val="0"/>
          <w:numId w:val="16"/>
        </w:numPr>
        <w:rPr>
          <w:lang w:val="en-US"/>
        </w:rPr>
      </w:pPr>
      <w:r w:rsidRPr="0012651E">
        <w:rPr>
          <w:lang w:val="en-US"/>
        </w:rPr>
        <w:t>The principle according to which protection must be aimed at the ordinary investor always should be predominant</w:t>
      </w:r>
      <w:r w:rsidR="001A24BB" w:rsidRPr="0012651E">
        <w:rPr>
          <w:lang w:val="en-US"/>
        </w:rPr>
        <w:t xml:space="preserve">. </w:t>
      </w:r>
    </w:p>
    <w:p w:rsidR="001A24BB" w:rsidRPr="0012651E" w:rsidRDefault="0012651E" w:rsidP="002254E5">
      <w:pPr>
        <w:pStyle w:val="ListParagraph"/>
        <w:numPr>
          <w:ilvl w:val="0"/>
          <w:numId w:val="16"/>
        </w:numPr>
        <w:rPr>
          <w:lang w:val="en-US"/>
        </w:rPr>
      </w:pPr>
      <w:r w:rsidRPr="0012651E">
        <w:rPr>
          <w:lang w:val="en-US"/>
        </w:rPr>
        <w:t xml:space="preserve">As for </w:t>
      </w:r>
      <w:r w:rsidR="001A24BB" w:rsidRPr="0012651E">
        <w:rPr>
          <w:lang w:val="en-US"/>
        </w:rPr>
        <w:t>MTF</w:t>
      </w:r>
      <w:r w:rsidRPr="0012651E">
        <w:rPr>
          <w:lang w:val="en-US"/>
        </w:rPr>
        <w:t xml:space="preserve">, the question of broadening the </w:t>
      </w:r>
      <w:r w:rsidR="001A24BB" w:rsidRPr="0012651E">
        <w:rPr>
          <w:lang w:val="en-US"/>
        </w:rPr>
        <w:t xml:space="preserve">scope </w:t>
      </w:r>
      <w:r w:rsidRPr="0012651E">
        <w:rPr>
          <w:lang w:val="en-US"/>
        </w:rPr>
        <w:t xml:space="preserve">of the </w:t>
      </w:r>
      <w:r w:rsidR="001A24BB" w:rsidRPr="0012651E">
        <w:rPr>
          <w:lang w:val="en-US"/>
        </w:rPr>
        <w:t xml:space="preserve">ICSD </w:t>
      </w:r>
      <w:r w:rsidRPr="0012651E">
        <w:rPr>
          <w:lang w:val="en-US"/>
        </w:rPr>
        <w:t xml:space="preserve">becomes less </w:t>
      </w:r>
      <w:r>
        <w:rPr>
          <w:lang w:val="en-US"/>
        </w:rPr>
        <w:t xml:space="preserve">important </w:t>
      </w:r>
      <w:r w:rsidRPr="0012651E">
        <w:rPr>
          <w:lang w:val="en-US"/>
        </w:rPr>
        <w:t xml:space="preserve">or even </w:t>
      </w:r>
      <w:r>
        <w:rPr>
          <w:lang w:val="en-US"/>
        </w:rPr>
        <w:t>almost irrelevant, since one is dealing with professional counterparties</w:t>
      </w:r>
      <w:r w:rsidR="001A24BB" w:rsidRPr="0012651E">
        <w:rPr>
          <w:lang w:val="en-US"/>
        </w:rPr>
        <w:t xml:space="preserve">. </w:t>
      </w:r>
      <w:r>
        <w:rPr>
          <w:lang w:val="en-US"/>
        </w:rPr>
        <w:t xml:space="preserve">So, it seems that the answer to this question should be negative for the larger part of it, although it may be wise to </w:t>
      </w:r>
      <w:r w:rsidR="00A9079E">
        <w:rPr>
          <w:lang w:val="en-US"/>
        </w:rPr>
        <w:t xml:space="preserve">make additional </w:t>
      </w:r>
      <w:r w:rsidR="00D81AF2">
        <w:rPr>
          <w:lang w:val="en-US"/>
        </w:rPr>
        <w:t>analyses</w:t>
      </w:r>
      <w:r w:rsidR="00A9079E">
        <w:rPr>
          <w:lang w:val="en-US"/>
        </w:rPr>
        <w:t xml:space="preserve"> in order to see more clearly</w:t>
      </w:r>
      <w:r w:rsidR="00411137" w:rsidRPr="0012651E">
        <w:rPr>
          <w:lang w:val="en-US"/>
        </w:rPr>
        <w:t xml:space="preserve">. </w:t>
      </w:r>
    </w:p>
    <w:p w:rsidR="00411137" w:rsidRPr="004A1FA1" w:rsidRDefault="00411137" w:rsidP="00411137">
      <w:pPr>
        <w:pStyle w:val="ListParagraph"/>
        <w:numPr>
          <w:ilvl w:val="0"/>
          <w:numId w:val="15"/>
        </w:numPr>
        <w:rPr>
          <w:b/>
          <w:i/>
          <w:lang w:val="en-US"/>
        </w:rPr>
      </w:pPr>
      <w:r w:rsidRPr="004A1FA1">
        <w:rPr>
          <w:b/>
          <w:i/>
          <w:lang w:val="en-US"/>
        </w:rPr>
        <w:t>Would it</w:t>
      </w:r>
      <w:r w:rsidR="00B404FB" w:rsidRPr="004A1FA1">
        <w:rPr>
          <w:b/>
          <w:i/>
          <w:lang w:val="en-US"/>
        </w:rPr>
        <w:t xml:space="preserve"> be appropriate to include in the</w:t>
      </w:r>
      <w:r w:rsidRPr="004A1FA1">
        <w:rPr>
          <w:b/>
          <w:i/>
          <w:lang w:val="en-US"/>
        </w:rPr>
        <w:t xml:space="preserve"> scope of the ICSD all investment firms seeking </w:t>
      </w:r>
      <w:proofErr w:type="spellStart"/>
      <w:r w:rsidRPr="004A1FA1">
        <w:rPr>
          <w:b/>
          <w:i/>
          <w:lang w:val="en-US"/>
        </w:rPr>
        <w:t>authorisation</w:t>
      </w:r>
      <w:proofErr w:type="spellEnd"/>
      <w:r w:rsidRPr="004A1FA1">
        <w:rPr>
          <w:b/>
          <w:i/>
          <w:lang w:val="en-US"/>
        </w:rPr>
        <w:t xml:space="preserve"> to the provision of investment services, although their authorization would not allow </w:t>
      </w:r>
      <w:r w:rsidR="00B404FB" w:rsidRPr="004A1FA1">
        <w:rPr>
          <w:b/>
          <w:i/>
          <w:lang w:val="en-US"/>
        </w:rPr>
        <w:t xml:space="preserve">holding clients’ assets ? </w:t>
      </w:r>
    </w:p>
    <w:p w:rsidR="00811C27" w:rsidRDefault="00811C27" w:rsidP="00B404FB">
      <w:pPr>
        <w:pStyle w:val="ListParagraph"/>
        <w:numPr>
          <w:ilvl w:val="0"/>
          <w:numId w:val="17"/>
        </w:numPr>
        <w:rPr>
          <w:lang w:val="en-US"/>
        </w:rPr>
      </w:pPr>
      <w:r>
        <w:rPr>
          <w:lang w:val="en-US"/>
        </w:rPr>
        <w:t xml:space="preserve">It should be noted right from the beginning that normally speaking, a customer of a private portfolio asset manager for example with a status which indeed does not allow customer deposits nor securities deposit, will be protected, for this situation is the result of legal provisions. The asset manager must refer his customer to a credit institution </w:t>
      </w:r>
      <w:r w:rsidR="003917A3">
        <w:rPr>
          <w:lang w:val="en-US"/>
        </w:rPr>
        <w:t xml:space="preserve">or </w:t>
      </w:r>
      <w:proofErr w:type="spellStart"/>
      <w:r w:rsidR="003917A3">
        <w:rPr>
          <w:lang w:val="en-US"/>
        </w:rPr>
        <w:t>stockbroking</w:t>
      </w:r>
      <w:proofErr w:type="spellEnd"/>
      <w:r w:rsidR="003917A3">
        <w:rPr>
          <w:lang w:val="en-US"/>
        </w:rPr>
        <w:t xml:space="preserve"> firm. This will also be noted in the contract that is signed with the customer and the bank or </w:t>
      </w:r>
      <w:proofErr w:type="spellStart"/>
      <w:r w:rsidR="003917A3">
        <w:rPr>
          <w:lang w:val="en-US"/>
        </w:rPr>
        <w:t>stockbroking</w:t>
      </w:r>
      <w:proofErr w:type="spellEnd"/>
      <w:r w:rsidR="003917A3">
        <w:rPr>
          <w:lang w:val="en-US"/>
        </w:rPr>
        <w:t xml:space="preserve"> firm also will provide the customer with informative statements about the customer deposits or the securities deposit. As a rule, these customers will have the benefit of the protection provided by the ICS (and/or the deposit-guarantee system). The asset manager’s status also complies with a European registering regulation and with the rules laid down in the </w:t>
      </w:r>
      <w:proofErr w:type="spellStart"/>
      <w:r w:rsidR="003917A3">
        <w:rPr>
          <w:lang w:val="en-US"/>
        </w:rPr>
        <w:t>MiFID</w:t>
      </w:r>
      <w:proofErr w:type="spellEnd"/>
      <w:r w:rsidR="003917A3">
        <w:rPr>
          <w:lang w:val="en-US"/>
        </w:rPr>
        <w:t>.</w:t>
      </w:r>
    </w:p>
    <w:p w:rsidR="00B404FB" w:rsidRPr="009E4E85" w:rsidRDefault="003917A3" w:rsidP="00B404FB">
      <w:pPr>
        <w:pStyle w:val="ListParagraph"/>
        <w:numPr>
          <w:ilvl w:val="0"/>
          <w:numId w:val="17"/>
        </w:numPr>
        <w:rPr>
          <w:lang w:val="en-US"/>
        </w:rPr>
      </w:pPr>
      <w:r>
        <w:rPr>
          <w:lang w:val="en-US"/>
        </w:rPr>
        <w:t>In addition, a</w:t>
      </w:r>
      <w:r w:rsidR="00A9079E" w:rsidRPr="00A9079E">
        <w:rPr>
          <w:lang w:val="en-US"/>
        </w:rPr>
        <w:t xml:space="preserve">ccording to the Belgian protection scheme, </w:t>
      </w:r>
      <w:r w:rsidR="00E22059" w:rsidRPr="00A9079E">
        <w:rPr>
          <w:lang w:val="en-US"/>
        </w:rPr>
        <w:t>c</w:t>
      </w:r>
      <w:r w:rsidR="00A9079E" w:rsidRPr="00A9079E">
        <w:rPr>
          <w:lang w:val="en-US"/>
        </w:rPr>
        <w:t>ustomers</w:t>
      </w:r>
      <w:r w:rsidR="00B404FB" w:rsidRPr="00A9079E">
        <w:rPr>
          <w:lang w:val="en-US"/>
        </w:rPr>
        <w:t>-</w:t>
      </w:r>
      <w:r w:rsidR="00A9079E" w:rsidRPr="00A9079E">
        <w:rPr>
          <w:lang w:val="en-US"/>
        </w:rPr>
        <w:t>investors may claim the benefit of the guarantee</w:t>
      </w:r>
      <w:r w:rsidR="00B404FB" w:rsidRPr="00A9079E">
        <w:rPr>
          <w:lang w:val="en-US"/>
        </w:rPr>
        <w:t xml:space="preserve">, </w:t>
      </w:r>
      <w:r w:rsidR="00A9079E" w:rsidRPr="00A9079E">
        <w:rPr>
          <w:lang w:val="en-US"/>
        </w:rPr>
        <w:t>if</w:t>
      </w:r>
      <w:r>
        <w:rPr>
          <w:lang w:val="en-US"/>
        </w:rPr>
        <w:t>, in spite of the prohibition imposed by law,</w:t>
      </w:r>
      <w:r w:rsidR="00A9079E" w:rsidRPr="00A9079E">
        <w:rPr>
          <w:lang w:val="en-US"/>
        </w:rPr>
        <w:t xml:space="preserve"> the assets </w:t>
      </w:r>
      <w:r w:rsidR="00B404FB" w:rsidRPr="00A9079E">
        <w:rPr>
          <w:lang w:val="en-US"/>
        </w:rPr>
        <w:t>(deposit</w:t>
      </w:r>
      <w:r w:rsidR="00A9079E" w:rsidRPr="00A9079E">
        <w:rPr>
          <w:lang w:val="en-US"/>
        </w:rPr>
        <w:t xml:space="preserve">s or financial </w:t>
      </w:r>
      <w:r w:rsidR="00E22059" w:rsidRPr="00A9079E">
        <w:rPr>
          <w:lang w:val="en-US"/>
        </w:rPr>
        <w:t>instrument</w:t>
      </w:r>
      <w:r w:rsidR="00C71027">
        <w:rPr>
          <w:lang w:val="en-US"/>
        </w:rPr>
        <w:t>s</w:t>
      </w:r>
      <w:r w:rsidR="00E22059" w:rsidRPr="00A9079E">
        <w:rPr>
          <w:lang w:val="en-US"/>
        </w:rPr>
        <w:t xml:space="preserve">) </w:t>
      </w:r>
      <w:r w:rsidR="00A9079E" w:rsidRPr="00A9079E">
        <w:rPr>
          <w:lang w:val="en-US"/>
        </w:rPr>
        <w:t xml:space="preserve">have been entrusted </w:t>
      </w:r>
      <w:r>
        <w:rPr>
          <w:lang w:val="en-US"/>
        </w:rPr>
        <w:t xml:space="preserve">directly </w:t>
      </w:r>
      <w:r w:rsidR="00A9079E" w:rsidRPr="00A9079E">
        <w:rPr>
          <w:lang w:val="en-US"/>
        </w:rPr>
        <w:t xml:space="preserve">to an investment company other than a </w:t>
      </w:r>
      <w:proofErr w:type="spellStart"/>
      <w:r w:rsidR="00A9079E" w:rsidRPr="00A9079E">
        <w:rPr>
          <w:lang w:val="en-US"/>
        </w:rPr>
        <w:t>stockbroking</w:t>
      </w:r>
      <w:proofErr w:type="spellEnd"/>
      <w:r w:rsidR="00A9079E" w:rsidRPr="00A9079E">
        <w:rPr>
          <w:lang w:val="en-US"/>
        </w:rPr>
        <w:t xml:space="preserve"> firm or credit institution </w:t>
      </w:r>
      <w:r w:rsidR="00B404FB" w:rsidRPr="00A9079E">
        <w:rPr>
          <w:lang w:val="en-US"/>
        </w:rPr>
        <w:t>(</w:t>
      </w:r>
      <w:r w:rsidR="00A9079E" w:rsidRPr="00A9079E">
        <w:rPr>
          <w:lang w:val="en-US"/>
        </w:rPr>
        <w:t>offering investment services</w:t>
      </w:r>
      <w:r w:rsidR="00B404FB" w:rsidRPr="00A9079E">
        <w:rPr>
          <w:lang w:val="en-US"/>
        </w:rPr>
        <w:t xml:space="preserve">) </w:t>
      </w:r>
      <w:r w:rsidR="00A9079E" w:rsidRPr="00A9079E">
        <w:rPr>
          <w:lang w:val="en-US"/>
        </w:rPr>
        <w:t>and if these customers have acted in good faith</w:t>
      </w:r>
      <w:r w:rsidR="00E53020" w:rsidRPr="00A9079E">
        <w:rPr>
          <w:lang w:val="en-US"/>
        </w:rPr>
        <w:t xml:space="preserve">. </w:t>
      </w:r>
      <w:r w:rsidR="00A9079E" w:rsidRPr="009E4E85">
        <w:rPr>
          <w:lang w:val="en-US"/>
        </w:rPr>
        <w:t>The latter implies among other things that the customers w</w:t>
      </w:r>
      <w:r w:rsidR="009E4E85" w:rsidRPr="009E4E85">
        <w:rPr>
          <w:lang w:val="en-US"/>
        </w:rPr>
        <w:t>ere unaware of the fact that the firm concerned was not authorized to collect, keep or safeguard deposit</w:t>
      </w:r>
      <w:r w:rsidR="009E4E85">
        <w:rPr>
          <w:lang w:val="en-US"/>
        </w:rPr>
        <w:t>s</w:t>
      </w:r>
      <w:r w:rsidR="009E4E85" w:rsidRPr="009E4E85">
        <w:rPr>
          <w:lang w:val="en-US"/>
        </w:rPr>
        <w:t xml:space="preserve"> or fin</w:t>
      </w:r>
      <w:r w:rsidR="009E4E85">
        <w:rPr>
          <w:lang w:val="en-US"/>
        </w:rPr>
        <w:t>a</w:t>
      </w:r>
      <w:r w:rsidR="009E4E85" w:rsidRPr="009E4E85">
        <w:rPr>
          <w:lang w:val="en-US"/>
        </w:rPr>
        <w:t xml:space="preserve">ncial </w:t>
      </w:r>
      <w:r w:rsidR="009E4E85">
        <w:rPr>
          <w:lang w:val="en-US"/>
        </w:rPr>
        <w:t>instruments belonging to th</w:t>
      </w:r>
      <w:r w:rsidR="00D81AF2">
        <w:rPr>
          <w:lang w:val="en-US"/>
        </w:rPr>
        <w:t>em</w:t>
      </w:r>
      <w:r w:rsidR="00E22059" w:rsidRPr="009E4E85">
        <w:rPr>
          <w:lang w:val="en-US"/>
        </w:rPr>
        <w:t xml:space="preserve">. </w:t>
      </w:r>
    </w:p>
    <w:p w:rsidR="00E22059" w:rsidRPr="009E4E85" w:rsidRDefault="009E4E85" w:rsidP="00B404FB">
      <w:pPr>
        <w:pStyle w:val="ListParagraph"/>
        <w:numPr>
          <w:ilvl w:val="0"/>
          <w:numId w:val="17"/>
        </w:numPr>
        <w:rPr>
          <w:lang w:val="en-US"/>
        </w:rPr>
      </w:pPr>
      <w:r w:rsidRPr="009E4E85">
        <w:rPr>
          <w:lang w:val="en-US"/>
        </w:rPr>
        <w:t>The Belgian protection scheme</w:t>
      </w:r>
      <w:r w:rsidR="00E22059" w:rsidRPr="009E4E85">
        <w:rPr>
          <w:lang w:val="en-US"/>
        </w:rPr>
        <w:t xml:space="preserve">, </w:t>
      </w:r>
      <w:r w:rsidRPr="009E4E85">
        <w:rPr>
          <w:lang w:val="en-US"/>
        </w:rPr>
        <w:t>into which the deposit-guarantee system and investor protection system were integrated</w:t>
      </w:r>
      <w:r w:rsidR="00E22059" w:rsidRPr="009E4E85">
        <w:rPr>
          <w:lang w:val="en-US"/>
        </w:rPr>
        <w:t xml:space="preserve"> (</w:t>
      </w:r>
      <w:r w:rsidRPr="009E4E85">
        <w:rPr>
          <w:lang w:val="en-US"/>
        </w:rPr>
        <w:t xml:space="preserve">in </w:t>
      </w:r>
      <w:r w:rsidR="00E22059" w:rsidRPr="009E4E85">
        <w:rPr>
          <w:lang w:val="en-US"/>
        </w:rPr>
        <w:t xml:space="preserve">1999), </w:t>
      </w:r>
      <w:r w:rsidRPr="009E4E85">
        <w:rPr>
          <w:lang w:val="en-US"/>
        </w:rPr>
        <w:t xml:space="preserve">already </w:t>
      </w:r>
      <w:r>
        <w:rPr>
          <w:lang w:val="en-US"/>
        </w:rPr>
        <w:t>has the broader scope the Commission aims at in this question</w:t>
      </w:r>
      <w:r w:rsidR="00E22059" w:rsidRPr="009E4E85">
        <w:rPr>
          <w:lang w:val="en-US"/>
        </w:rPr>
        <w:t xml:space="preserve">. </w:t>
      </w:r>
    </w:p>
    <w:p w:rsidR="00E22059" w:rsidRPr="00C71027" w:rsidRDefault="00C71027" w:rsidP="00B404FB">
      <w:pPr>
        <w:pStyle w:val="ListParagraph"/>
        <w:numPr>
          <w:ilvl w:val="0"/>
          <w:numId w:val="17"/>
        </w:numPr>
        <w:rPr>
          <w:lang w:val="en-US"/>
        </w:rPr>
      </w:pPr>
      <w:r w:rsidRPr="00C71027">
        <w:rPr>
          <w:lang w:val="en-US"/>
        </w:rPr>
        <w:t xml:space="preserve">Of course, it would be a good thing if the investment companies concerned which have no authorization for collecting funds or securities from customers, can communicate about this in an appropriate way and </w:t>
      </w:r>
      <w:r>
        <w:rPr>
          <w:lang w:val="en-US"/>
        </w:rPr>
        <w:t xml:space="preserve">provide </w:t>
      </w:r>
      <w:r w:rsidRPr="00C71027">
        <w:rPr>
          <w:lang w:val="en-US"/>
        </w:rPr>
        <w:t>inform</w:t>
      </w:r>
      <w:r>
        <w:rPr>
          <w:lang w:val="en-US"/>
        </w:rPr>
        <w:t>ation within the framework of their customer relationship</w:t>
      </w:r>
      <w:r w:rsidR="00E22059" w:rsidRPr="00C71027">
        <w:rPr>
          <w:lang w:val="en-US"/>
        </w:rPr>
        <w:t xml:space="preserve">. </w:t>
      </w:r>
    </w:p>
    <w:p w:rsidR="00E22059" w:rsidRPr="004A1FA1" w:rsidRDefault="00E22059" w:rsidP="009D75EB">
      <w:pPr>
        <w:pStyle w:val="ListParagraph"/>
        <w:numPr>
          <w:ilvl w:val="0"/>
          <w:numId w:val="15"/>
        </w:numPr>
        <w:rPr>
          <w:b/>
          <w:i/>
          <w:lang w:val="en-US"/>
        </w:rPr>
      </w:pPr>
      <w:r w:rsidRPr="004A1FA1">
        <w:rPr>
          <w:b/>
          <w:i/>
          <w:lang w:val="en-US"/>
        </w:rPr>
        <w:t xml:space="preserve">Would it be appropriate to include in the scope of the ICSD all investment firms seeking </w:t>
      </w:r>
      <w:proofErr w:type="spellStart"/>
      <w:r w:rsidRPr="004A1FA1">
        <w:rPr>
          <w:b/>
          <w:i/>
          <w:lang w:val="en-US"/>
        </w:rPr>
        <w:t>authorisation</w:t>
      </w:r>
      <w:proofErr w:type="spellEnd"/>
      <w:r w:rsidRPr="004A1FA1">
        <w:rPr>
          <w:b/>
          <w:i/>
          <w:lang w:val="en-US"/>
        </w:rPr>
        <w:t xml:space="preserve"> to the provision of investment services, although they provide th</w:t>
      </w:r>
      <w:r w:rsidR="00901D44" w:rsidRPr="004A1FA1">
        <w:rPr>
          <w:b/>
          <w:i/>
          <w:lang w:val="en-US"/>
        </w:rPr>
        <w:t>eir services only to non-reta</w:t>
      </w:r>
      <w:r w:rsidRPr="004A1FA1">
        <w:rPr>
          <w:b/>
          <w:i/>
          <w:lang w:val="en-US"/>
        </w:rPr>
        <w:t xml:space="preserve">il clients ? </w:t>
      </w:r>
    </w:p>
    <w:p w:rsidR="00E22059" w:rsidRPr="00C71027" w:rsidRDefault="00C71027" w:rsidP="00E22059">
      <w:pPr>
        <w:pStyle w:val="ListParagraph"/>
        <w:numPr>
          <w:ilvl w:val="0"/>
          <w:numId w:val="18"/>
        </w:numPr>
        <w:rPr>
          <w:lang w:val="en-US"/>
        </w:rPr>
      </w:pPr>
      <w:r w:rsidRPr="00C71027">
        <w:rPr>
          <w:lang w:val="en-US"/>
        </w:rPr>
        <w:t xml:space="preserve">As for this question, one should refer to the principle </w:t>
      </w:r>
      <w:r w:rsidRPr="0012651E">
        <w:rPr>
          <w:lang w:val="en-US"/>
        </w:rPr>
        <w:t xml:space="preserve">according to which protection must be aimed at the ordinary </w:t>
      </w:r>
      <w:r>
        <w:rPr>
          <w:lang w:val="en-US"/>
        </w:rPr>
        <w:t>customer-</w:t>
      </w:r>
      <w:r w:rsidRPr="0012651E">
        <w:rPr>
          <w:lang w:val="en-US"/>
        </w:rPr>
        <w:t>investor</w:t>
      </w:r>
      <w:r w:rsidR="00901D44" w:rsidRPr="00C71027">
        <w:rPr>
          <w:lang w:val="en-US"/>
        </w:rPr>
        <w:t xml:space="preserve">. </w:t>
      </w:r>
    </w:p>
    <w:p w:rsidR="00901D44" w:rsidRPr="00365F01" w:rsidRDefault="00C71027" w:rsidP="00E22059">
      <w:pPr>
        <w:pStyle w:val="ListParagraph"/>
        <w:numPr>
          <w:ilvl w:val="0"/>
          <w:numId w:val="18"/>
        </w:numPr>
        <w:rPr>
          <w:lang w:val="en-US"/>
        </w:rPr>
      </w:pPr>
      <w:r w:rsidRPr="00C71027">
        <w:rPr>
          <w:lang w:val="en-US"/>
        </w:rPr>
        <w:t>Hence, we do not see the need for</w:t>
      </w:r>
      <w:r>
        <w:rPr>
          <w:lang w:val="en-US"/>
        </w:rPr>
        <w:t xml:space="preserve"> including non-retail customers into the scope of the protection scheme</w:t>
      </w:r>
      <w:r w:rsidR="00901D44" w:rsidRPr="00C71027">
        <w:rPr>
          <w:lang w:val="en-US"/>
        </w:rPr>
        <w:t xml:space="preserve">. </w:t>
      </w:r>
      <w:r w:rsidRPr="00220976">
        <w:rPr>
          <w:lang w:val="en-US"/>
        </w:rPr>
        <w:t xml:space="preserve">Neither is there a reason for </w:t>
      </w:r>
      <w:r w:rsidR="00220976" w:rsidRPr="00220976">
        <w:rPr>
          <w:lang w:val="en-US"/>
        </w:rPr>
        <w:t xml:space="preserve">broadening the scope of the ICSD in order to cover </w:t>
      </w:r>
      <w:r w:rsidR="00901D44" w:rsidRPr="00220976">
        <w:rPr>
          <w:lang w:val="en-US"/>
        </w:rPr>
        <w:t>invest</w:t>
      </w:r>
      <w:r w:rsidR="00591712" w:rsidRPr="00220976">
        <w:rPr>
          <w:lang w:val="en-US"/>
        </w:rPr>
        <w:t>ment</w:t>
      </w:r>
      <w:r w:rsidR="00901D44" w:rsidRPr="00220976">
        <w:rPr>
          <w:lang w:val="en-US"/>
        </w:rPr>
        <w:t xml:space="preserve"> firms </w:t>
      </w:r>
      <w:r w:rsidR="00220976">
        <w:rPr>
          <w:lang w:val="en-US"/>
        </w:rPr>
        <w:t xml:space="preserve">which exclusively </w:t>
      </w:r>
      <w:r w:rsidR="00365F01">
        <w:rPr>
          <w:lang w:val="en-US"/>
        </w:rPr>
        <w:t>deal with this kind of customers</w:t>
      </w:r>
      <w:r w:rsidR="00901D44" w:rsidRPr="00220976">
        <w:rPr>
          <w:lang w:val="en-US"/>
        </w:rPr>
        <w:t xml:space="preserve">. </w:t>
      </w:r>
      <w:r w:rsidR="00365F01" w:rsidRPr="005A23E9">
        <w:rPr>
          <w:lang w:val="en-US"/>
        </w:rPr>
        <w:t>This principle should be applied consistently</w:t>
      </w:r>
      <w:r w:rsidR="00901D44" w:rsidRPr="005A23E9">
        <w:rPr>
          <w:lang w:val="en-US"/>
        </w:rPr>
        <w:t xml:space="preserve">. </w:t>
      </w:r>
      <w:r w:rsidR="00901D44" w:rsidRPr="00365F01">
        <w:rPr>
          <w:lang w:val="en-US"/>
        </w:rPr>
        <w:t>I</w:t>
      </w:r>
      <w:r w:rsidR="00365F01" w:rsidRPr="00365F01">
        <w:rPr>
          <w:lang w:val="en-US"/>
        </w:rPr>
        <w:t>f not, there is a danger of an unwanted spreading which  also</w:t>
      </w:r>
      <w:r w:rsidR="00D81AF2">
        <w:rPr>
          <w:lang w:val="en-US"/>
        </w:rPr>
        <w:t xml:space="preserve"> could</w:t>
      </w:r>
      <w:r w:rsidR="00365F01" w:rsidRPr="00365F01">
        <w:rPr>
          <w:lang w:val="en-US"/>
        </w:rPr>
        <w:t xml:space="preserve"> affect the financial </w:t>
      </w:r>
      <w:r w:rsidR="00901D44" w:rsidRPr="00365F01">
        <w:rPr>
          <w:lang w:val="en-US"/>
        </w:rPr>
        <w:t>solidit</w:t>
      </w:r>
      <w:r w:rsidR="00365F01" w:rsidRPr="00365F01">
        <w:rPr>
          <w:lang w:val="en-US"/>
        </w:rPr>
        <w:t>y of the protection schemes</w:t>
      </w:r>
      <w:r w:rsidR="00901D44" w:rsidRPr="00365F01">
        <w:rPr>
          <w:lang w:val="en-US"/>
        </w:rPr>
        <w:t xml:space="preserve"> (</w:t>
      </w:r>
      <w:r w:rsidR="00365F01" w:rsidRPr="00365F01">
        <w:rPr>
          <w:lang w:val="en-US"/>
        </w:rPr>
        <w:t>certainly in a system such as the Belgian system</w:t>
      </w:r>
      <w:r w:rsidR="00901D44" w:rsidRPr="00365F01">
        <w:rPr>
          <w:lang w:val="en-US"/>
        </w:rPr>
        <w:t xml:space="preserve">, </w:t>
      </w:r>
      <w:r w:rsidR="00365F01" w:rsidRPr="00365F01">
        <w:rPr>
          <w:lang w:val="en-US"/>
        </w:rPr>
        <w:t xml:space="preserve">in which the </w:t>
      </w:r>
      <w:r w:rsidR="00901D44" w:rsidRPr="00365F01">
        <w:rPr>
          <w:lang w:val="en-US"/>
        </w:rPr>
        <w:t>ex ante f</w:t>
      </w:r>
      <w:r w:rsidR="00365F01" w:rsidRPr="00365F01">
        <w:rPr>
          <w:lang w:val="en-US"/>
        </w:rPr>
        <w:t>unding is base</w:t>
      </w:r>
      <w:r w:rsidR="00365F01">
        <w:rPr>
          <w:lang w:val="en-US"/>
        </w:rPr>
        <w:t>d</w:t>
      </w:r>
      <w:r w:rsidR="00365F01" w:rsidRPr="00365F01">
        <w:rPr>
          <w:lang w:val="en-US"/>
        </w:rPr>
        <w:t xml:space="preserve"> on the volume of </w:t>
      </w:r>
      <w:r w:rsidR="00365F01">
        <w:rPr>
          <w:lang w:val="en-US"/>
        </w:rPr>
        <w:t>assets that, as a matter of principle, are covered</w:t>
      </w:r>
      <w:r w:rsidR="00901D44" w:rsidRPr="00365F01">
        <w:rPr>
          <w:lang w:val="en-US"/>
        </w:rPr>
        <w:t xml:space="preserve">). </w:t>
      </w:r>
    </w:p>
    <w:p w:rsidR="00901D44" w:rsidRPr="004A1FA1" w:rsidRDefault="00B123CD" w:rsidP="009D75EB">
      <w:pPr>
        <w:pStyle w:val="ListParagraph"/>
        <w:numPr>
          <w:ilvl w:val="0"/>
          <w:numId w:val="15"/>
        </w:numPr>
        <w:rPr>
          <w:b/>
          <w:i/>
          <w:lang w:val="en-US"/>
        </w:rPr>
      </w:pPr>
      <w:r w:rsidRPr="004A1FA1">
        <w:rPr>
          <w:b/>
          <w:i/>
          <w:lang w:val="en-US"/>
        </w:rPr>
        <w:t xml:space="preserve">4.a) Should investors be able to claim compensation in the case of default of the third party where their assets have been deposited ? </w:t>
      </w:r>
    </w:p>
    <w:p w:rsidR="00B123CD" w:rsidRPr="00793A25" w:rsidRDefault="00365F01" w:rsidP="00B123CD">
      <w:pPr>
        <w:pStyle w:val="ListParagraph"/>
        <w:numPr>
          <w:ilvl w:val="0"/>
          <w:numId w:val="19"/>
        </w:numPr>
        <w:rPr>
          <w:lang w:val="en-US"/>
        </w:rPr>
      </w:pPr>
      <w:r w:rsidRPr="00365F01">
        <w:rPr>
          <w:lang w:val="en-US"/>
        </w:rPr>
        <w:t xml:space="preserve">Situations such as these can be very complex and it may be necessary to </w:t>
      </w:r>
      <w:r w:rsidR="00D81AF2">
        <w:rPr>
          <w:lang w:val="en-US"/>
        </w:rPr>
        <w:t>look deeper</w:t>
      </w:r>
      <w:r w:rsidRPr="00365F01">
        <w:rPr>
          <w:lang w:val="en-US"/>
        </w:rPr>
        <w:t xml:space="preserve"> in</w:t>
      </w:r>
      <w:r w:rsidR="00D81AF2">
        <w:rPr>
          <w:lang w:val="en-US"/>
        </w:rPr>
        <w:t>to</w:t>
      </w:r>
      <w:r w:rsidRPr="00365F01">
        <w:rPr>
          <w:lang w:val="en-US"/>
        </w:rPr>
        <w:t xml:space="preserve"> this matter before it will be possible to take a balanced decision</w:t>
      </w:r>
      <w:r w:rsidR="00B123CD" w:rsidRPr="00365F01">
        <w:rPr>
          <w:lang w:val="en-US"/>
        </w:rPr>
        <w:t xml:space="preserve">. </w:t>
      </w:r>
      <w:r w:rsidRPr="00716060">
        <w:rPr>
          <w:lang w:val="en-US"/>
        </w:rPr>
        <w:t xml:space="preserve">One thing that can happen is a </w:t>
      </w:r>
      <w:proofErr w:type="spellStart"/>
      <w:r w:rsidR="00B33253" w:rsidRPr="00716060">
        <w:rPr>
          <w:lang w:val="en-US"/>
        </w:rPr>
        <w:t>cumulati</w:t>
      </w:r>
      <w:r w:rsidRPr="00716060">
        <w:rPr>
          <w:lang w:val="en-US"/>
        </w:rPr>
        <w:t>on</w:t>
      </w:r>
      <w:proofErr w:type="spellEnd"/>
      <w:r w:rsidRPr="00716060">
        <w:rPr>
          <w:lang w:val="en-US"/>
        </w:rPr>
        <w:t xml:space="preserve"> or </w:t>
      </w:r>
      <w:r w:rsidR="00B33253" w:rsidRPr="00716060">
        <w:rPr>
          <w:lang w:val="en-US"/>
        </w:rPr>
        <w:t>overlap</w:t>
      </w:r>
      <w:r w:rsidRPr="00716060">
        <w:rPr>
          <w:lang w:val="en-US"/>
        </w:rPr>
        <w:t xml:space="preserve"> of </w:t>
      </w:r>
      <w:r w:rsidR="00742D79">
        <w:rPr>
          <w:lang w:val="en-US"/>
        </w:rPr>
        <w:t>protection</w:t>
      </w:r>
      <w:r w:rsidR="00B33253" w:rsidRPr="00716060">
        <w:rPr>
          <w:lang w:val="en-US"/>
        </w:rPr>
        <w:t xml:space="preserve">, </w:t>
      </w:r>
      <w:r w:rsidR="00716060" w:rsidRPr="00716060">
        <w:rPr>
          <w:lang w:val="en-US"/>
        </w:rPr>
        <w:t xml:space="preserve">for example if the benefit of the protection scheme </w:t>
      </w:r>
      <w:r w:rsidR="00B33253" w:rsidRPr="00716060">
        <w:rPr>
          <w:lang w:val="en-US"/>
        </w:rPr>
        <w:t>(</w:t>
      </w:r>
      <w:r w:rsidR="00716060" w:rsidRPr="00716060">
        <w:rPr>
          <w:lang w:val="en-US"/>
        </w:rPr>
        <w:t>possibly in combination with the deposit-guarantee system</w:t>
      </w:r>
      <w:r w:rsidR="00B33253" w:rsidRPr="00716060">
        <w:rPr>
          <w:lang w:val="en-US"/>
        </w:rPr>
        <w:t xml:space="preserve">) </w:t>
      </w:r>
      <w:r w:rsidR="00716060" w:rsidRPr="00716060">
        <w:rPr>
          <w:lang w:val="en-US"/>
        </w:rPr>
        <w:t>can be called upon by the third party as well as by the company</w:t>
      </w:r>
      <w:r w:rsidR="00B33253" w:rsidRPr="00716060">
        <w:rPr>
          <w:lang w:val="en-US"/>
        </w:rPr>
        <w:t xml:space="preserve">. </w:t>
      </w:r>
      <w:r w:rsidR="00716060" w:rsidRPr="00793A25">
        <w:rPr>
          <w:lang w:val="en-US"/>
        </w:rPr>
        <w:t xml:space="preserve">The situation may become </w:t>
      </w:r>
      <w:r w:rsidR="00793A25" w:rsidRPr="00793A25">
        <w:rPr>
          <w:lang w:val="en-US"/>
        </w:rPr>
        <w:t>even more complicated in case of combined failures</w:t>
      </w:r>
      <w:r w:rsidR="00B33253" w:rsidRPr="00793A25">
        <w:rPr>
          <w:lang w:val="en-US"/>
        </w:rPr>
        <w:t xml:space="preserve"> (</w:t>
      </w:r>
      <w:r w:rsidR="00793A25" w:rsidRPr="00793A25">
        <w:rPr>
          <w:lang w:val="en-US"/>
        </w:rPr>
        <w:t xml:space="preserve">e.g. </w:t>
      </w:r>
      <w:r w:rsidR="00793A25">
        <w:rPr>
          <w:lang w:val="en-US"/>
        </w:rPr>
        <w:t xml:space="preserve">the </w:t>
      </w:r>
      <w:r w:rsidR="00793A25" w:rsidRPr="00793A25">
        <w:rPr>
          <w:lang w:val="en-US"/>
        </w:rPr>
        <w:t xml:space="preserve">default of the third party at which the investment company has deposited </w:t>
      </w:r>
      <w:r w:rsidR="00793A25">
        <w:rPr>
          <w:lang w:val="en-US"/>
        </w:rPr>
        <w:t>the assets of its customers</w:t>
      </w:r>
      <w:r w:rsidR="00D81AF2">
        <w:rPr>
          <w:lang w:val="en-US"/>
        </w:rPr>
        <w:t>,</w:t>
      </w:r>
      <w:r w:rsidR="00793A25">
        <w:rPr>
          <w:lang w:val="en-US"/>
        </w:rPr>
        <w:t xml:space="preserve"> subsequently causes the default of the investment company itself</w:t>
      </w:r>
      <w:r w:rsidR="00B33253" w:rsidRPr="00793A25">
        <w:rPr>
          <w:lang w:val="en-US"/>
        </w:rPr>
        <w:t xml:space="preserve">). </w:t>
      </w:r>
      <w:r w:rsidR="00793A25">
        <w:rPr>
          <w:lang w:val="en-US"/>
        </w:rPr>
        <w:t xml:space="preserve">One should also avoid creating distortions of competition between providers of financial services as a consequence of </w:t>
      </w:r>
      <w:r w:rsidR="00742D79">
        <w:rPr>
          <w:lang w:val="en-US"/>
        </w:rPr>
        <w:t xml:space="preserve">a </w:t>
      </w:r>
      <w:proofErr w:type="spellStart"/>
      <w:r w:rsidR="00793A25">
        <w:rPr>
          <w:lang w:val="en-US"/>
        </w:rPr>
        <w:t>cumulati</w:t>
      </w:r>
      <w:r w:rsidR="00742D79">
        <w:rPr>
          <w:lang w:val="en-US"/>
        </w:rPr>
        <w:t>on</w:t>
      </w:r>
      <w:proofErr w:type="spellEnd"/>
      <w:r w:rsidR="00742D79">
        <w:rPr>
          <w:lang w:val="en-US"/>
        </w:rPr>
        <w:t xml:space="preserve"> or overlap of protection</w:t>
      </w:r>
      <w:r w:rsidR="001A5CC2" w:rsidRPr="00793A25">
        <w:rPr>
          <w:lang w:val="en-US"/>
        </w:rPr>
        <w:t xml:space="preserve">. </w:t>
      </w:r>
    </w:p>
    <w:p w:rsidR="00B33253" w:rsidRPr="00742D79" w:rsidRDefault="00811C27" w:rsidP="00B123CD">
      <w:pPr>
        <w:pStyle w:val="ListParagraph"/>
        <w:numPr>
          <w:ilvl w:val="0"/>
          <w:numId w:val="19"/>
        </w:numPr>
        <w:rPr>
          <w:lang w:val="en-US"/>
        </w:rPr>
      </w:pPr>
      <w:r>
        <w:rPr>
          <w:lang w:val="en-US"/>
        </w:rPr>
        <w:t xml:space="preserve">A relevant point of discussion is </w:t>
      </w:r>
      <w:r w:rsidR="00742D79" w:rsidRPr="00742D79">
        <w:rPr>
          <w:lang w:val="en-US"/>
        </w:rPr>
        <w:t>that customers who act in full good faith</w:t>
      </w:r>
      <w:r w:rsidR="001A5CC2" w:rsidRPr="00742D79">
        <w:rPr>
          <w:lang w:val="en-US"/>
        </w:rPr>
        <w:t xml:space="preserve"> (</w:t>
      </w:r>
      <w:r w:rsidR="00742D79" w:rsidRPr="00742D79">
        <w:rPr>
          <w:lang w:val="en-US"/>
        </w:rPr>
        <w:t xml:space="preserve">and for instance </w:t>
      </w:r>
      <w:r w:rsidR="00A623B0">
        <w:rPr>
          <w:lang w:val="en-US"/>
        </w:rPr>
        <w:t xml:space="preserve">who </w:t>
      </w:r>
      <w:r w:rsidR="00742D79" w:rsidRPr="00742D79">
        <w:rPr>
          <w:lang w:val="en-US"/>
        </w:rPr>
        <w:t>do not know at all which is the third party receiving some assets from the inves</w:t>
      </w:r>
      <w:r w:rsidR="00742D79">
        <w:rPr>
          <w:lang w:val="en-US"/>
        </w:rPr>
        <w:t>t</w:t>
      </w:r>
      <w:r w:rsidR="00742D79" w:rsidRPr="00742D79">
        <w:rPr>
          <w:lang w:val="en-US"/>
        </w:rPr>
        <w:t>ment</w:t>
      </w:r>
      <w:r w:rsidR="00742D79">
        <w:rPr>
          <w:lang w:val="en-US"/>
        </w:rPr>
        <w:t xml:space="preserve"> company</w:t>
      </w:r>
      <w:r w:rsidR="00A623B0">
        <w:rPr>
          <w:lang w:val="en-US"/>
        </w:rPr>
        <w:t xml:space="preserve"> they are customers of</w:t>
      </w:r>
      <w:r w:rsidR="001A5CC2" w:rsidRPr="00742D79">
        <w:rPr>
          <w:lang w:val="en-US"/>
        </w:rPr>
        <w:t>)</w:t>
      </w:r>
      <w:r w:rsidR="00A623B0">
        <w:rPr>
          <w:lang w:val="en-US"/>
        </w:rPr>
        <w:t xml:space="preserve">, </w:t>
      </w:r>
      <w:r>
        <w:rPr>
          <w:lang w:val="en-US"/>
        </w:rPr>
        <w:t>could</w:t>
      </w:r>
      <w:r w:rsidR="00A623B0">
        <w:rPr>
          <w:lang w:val="en-US"/>
        </w:rPr>
        <w:t xml:space="preserve"> be disadvantaged or </w:t>
      </w:r>
      <w:r>
        <w:rPr>
          <w:lang w:val="en-US"/>
        </w:rPr>
        <w:t>could</w:t>
      </w:r>
      <w:r w:rsidR="00A623B0">
        <w:rPr>
          <w:lang w:val="en-US"/>
        </w:rPr>
        <w:t xml:space="preserve"> be victim, without having </w:t>
      </w:r>
      <w:r w:rsidR="00CF0F7B">
        <w:rPr>
          <w:lang w:val="en-US"/>
        </w:rPr>
        <w:t>the possibility of actually sheltering themselves against this kind of misfortune</w:t>
      </w:r>
      <w:r w:rsidR="001A5CC2" w:rsidRPr="00742D79">
        <w:rPr>
          <w:lang w:val="en-US"/>
        </w:rPr>
        <w:t xml:space="preserve">. </w:t>
      </w:r>
    </w:p>
    <w:p w:rsidR="001A5CC2" w:rsidRPr="004A1FA1" w:rsidRDefault="001A5CC2" w:rsidP="001A5CC2">
      <w:pPr>
        <w:pStyle w:val="ListParagraph"/>
        <w:ind w:left="360"/>
        <w:rPr>
          <w:b/>
          <w:i/>
          <w:lang w:val="en-US"/>
        </w:rPr>
      </w:pPr>
      <w:r w:rsidRPr="004A1FA1">
        <w:rPr>
          <w:b/>
          <w:i/>
          <w:lang w:val="en-US"/>
        </w:rPr>
        <w:t>4.b) Should investors (such as UCITS or a UCITS unit holder) be able to claim compensation for loss of assets under the ICSD in those cases where the UCITS depositary or the institution which has been ma</w:t>
      </w:r>
      <w:r w:rsidR="00591712">
        <w:rPr>
          <w:b/>
          <w:i/>
          <w:lang w:val="en-US"/>
        </w:rPr>
        <w:t>n</w:t>
      </w:r>
      <w:r w:rsidRPr="004A1FA1">
        <w:rPr>
          <w:b/>
          <w:i/>
          <w:lang w:val="en-US"/>
        </w:rPr>
        <w:t>dated to safe keep the assets, fail</w:t>
      </w:r>
      <w:r w:rsidR="00D81AF2">
        <w:rPr>
          <w:b/>
          <w:i/>
          <w:lang w:val="en-US"/>
        </w:rPr>
        <w:t>s</w:t>
      </w:r>
      <w:r w:rsidRPr="004A1FA1">
        <w:rPr>
          <w:b/>
          <w:i/>
          <w:lang w:val="en-US"/>
        </w:rPr>
        <w:t xml:space="preserve"> to perform its duty ? </w:t>
      </w:r>
    </w:p>
    <w:p w:rsidR="001A5CC2" w:rsidRDefault="005A23E9" w:rsidP="001A5CC2">
      <w:pPr>
        <w:pStyle w:val="ListParagraph"/>
        <w:numPr>
          <w:ilvl w:val="0"/>
          <w:numId w:val="20"/>
        </w:numPr>
        <w:rPr>
          <w:lang w:val="en-US"/>
        </w:rPr>
      </w:pPr>
      <w:r>
        <w:rPr>
          <w:lang w:val="en-US"/>
        </w:rPr>
        <w:t>See</w:t>
      </w:r>
      <w:r w:rsidR="001A5CC2">
        <w:rPr>
          <w:lang w:val="en-US"/>
        </w:rPr>
        <w:t xml:space="preserve"> 4.a).</w:t>
      </w:r>
    </w:p>
    <w:p w:rsidR="001A5CC2" w:rsidRPr="004A1FA1" w:rsidRDefault="00A806CF" w:rsidP="009D75EB">
      <w:pPr>
        <w:pStyle w:val="ListParagraph"/>
        <w:numPr>
          <w:ilvl w:val="0"/>
          <w:numId w:val="15"/>
        </w:numPr>
        <w:rPr>
          <w:b/>
          <w:i/>
          <w:lang w:val="en-US"/>
        </w:rPr>
      </w:pPr>
      <w:r w:rsidRPr="004A1FA1">
        <w:rPr>
          <w:b/>
          <w:i/>
          <w:lang w:val="en-US"/>
        </w:rPr>
        <w:t>Should loss events include also any losses suffer</w:t>
      </w:r>
      <w:r w:rsidR="008802AB" w:rsidRPr="004A1FA1">
        <w:rPr>
          <w:b/>
          <w:i/>
          <w:lang w:val="en-US"/>
        </w:rPr>
        <w:t>e</w:t>
      </w:r>
      <w:r w:rsidRPr="004A1FA1">
        <w:rPr>
          <w:b/>
          <w:i/>
          <w:lang w:val="en-US"/>
        </w:rPr>
        <w:t xml:space="preserve">d by (retail) investors as a consequence of the violation of conduct of business rules ? </w:t>
      </w:r>
    </w:p>
    <w:p w:rsidR="008802AB" w:rsidRPr="00740CB1" w:rsidRDefault="005A23E9" w:rsidP="008802AB">
      <w:pPr>
        <w:pStyle w:val="ListParagraph"/>
        <w:numPr>
          <w:ilvl w:val="0"/>
          <w:numId w:val="20"/>
        </w:numPr>
        <w:rPr>
          <w:lang w:val="en-US"/>
        </w:rPr>
      </w:pPr>
      <w:r w:rsidRPr="005A23E9">
        <w:rPr>
          <w:lang w:val="en-US"/>
        </w:rPr>
        <w:t>The actual purpose of the protection scheme has little or nothing to do with the application of professional rules of conduct, among other things as for counseling by investment compa</w:t>
      </w:r>
      <w:r w:rsidR="00A74D95">
        <w:rPr>
          <w:lang w:val="en-US"/>
        </w:rPr>
        <w:t>nies and making investment choic</w:t>
      </w:r>
      <w:r w:rsidRPr="005A23E9">
        <w:rPr>
          <w:lang w:val="en-US"/>
        </w:rPr>
        <w:t>es</w:t>
      </w:r>
      <w:r w:rsidR="008802AB" w:rsidRPr="005A23E9">
        <w:rPr>
          <w:lang w:val="en-US"/>
        </w:rPr>
        <w:t xml:space="preserve">. </w:t>
      </w:r>
      <w:r>
        <w:rPr>
          <w:lang w:val="en-US"/>
        </w:rPr>
        <w:t>So, there is no reason to mix up both these things</w:t>
      </w:r>
      <w:r w:rsidR="008802AB" w:rsidRPr="005A23E9">
        <w:rPr>
          <w:lang w:val="en-US"/>
        </w:rPr>
        <w:t xml:space="preserve">. </w:t>
      </w:r>
      <w:r w:rsidRPr="005A23E9">
        <w:rPr>
          <w:lang w:val="en-US"/>
        </w:rPr>
        <w:t>Moreover, this would also affect the efficient and transparent functioning of the protection scheme</w:t>
      </w:r>
      <w:r w:rsidR="008802AB" w:rsidRPr="005A23E9">
        <w:rPr>
          <w:lang w:val="en-US"/>
        </w:rPr>
        <w:t xml:space="preserve">. </w:t>
      </w:r>
      <w:r w:rsidRPr="00740CB1">
        <w:rPr>
          <w:lang w:val="en-US"/>
        </w:rPr>
        <w:t xml:space="preserve">Since customers may start having wrong expectations, the </w:t>
      </w:r>
      <w:r w:rsidR="008802AB" w:rsidRPr="00740CB1">
        <w:rPr>
          <w:lang w:val="en-US"/>
        </w:rPr>
        <w:t>moral hazard</w:t>
      </w:r>
      <w:r w:rsidRPr="00740CB1">
        <w:rPr>
          <w:lang w:val="en-US"/>
        </w:rPr>
        <w:t xml:space="preserve"> problem could be enhanced</w:t>
      </w:r>
      <w:r w:rsidR="008802AB" w:rsidRPr="00740CB1">
        <w:rPr>
          <w:lang w:val="en-US"/>
        </w:rPr>
        <w:t xml:space="preserve"> (</w:t>
      </w:r>
      <w:r w:rsidRPr="00740CB1">
        <w:rPr>
          <w:lang w:val="en-US"/>
        </w:rPr>
        <w:t>if those expectations cannot be met</w:t>
      </w:r>
      <w:r w:rsidR="008802AB" w:rsidRPr="00740CB1">
        <w:rPr>
          <w:lang w:val="en-US"/>
        </w:rPr>
        <w:t>)</w:t>
      </w:r>
      <w:r w:rsidR="00740CB1" w:rsidRPr="00740CB1">
        <w:rPr>
          <w:lang w:val="en-US"/>
        </w:rPr>
        <w:t xml:space="preserve"> and the purpose of maintaining the confidence of savers and investors, </w:t>
      </w:r>
      <w:r w:rsidR="00740CB1">
        <w:rPr>
          <w:lang w:val="en-US"/>
        </w:rPr>
        <w:t xml:space="preserve">also in difficult circumstances, also could be </w:t>
      </w:r>
      <w:proofErr w:type="spellStart"/>
      <w:r w:rsidR="00740CB1">
        <w:rPr>
          <w:lang w:val="en-US"/>
        </w:rPr>
        <w:t>jeopardised</w:t>
      </w:r>
      <w:proofErr w:type="spellEnd"/>
      <w:r w:rsidR="008802AB" w:rsidRPr="00740CB1">
        <w:rPr>
          <w:lang w:val="en-US"/>
        </w:rPr>
        <w:t>.</w:t>
      </w:r>
    </w:p>
    <w:p w:rsidR="008802AB" w:rsidRPr="00740CB1" w:rsidRDefault="00740CB1" w:rsidP="008802AB">
      <w:pPr>
        <w:pStyle w:val="ListParagraph"/>
        <w:numPr>
          <w:ilvl w:val="0"/>
          <w:numId w:val="20"/>
        </w:numPr>
        <w:rPr>
          <w:lang w:val="en-US"/>
        </w:rPr>
      </w:pPr>
      <w:r w:rsidRPr="00740CB1">
        <w:rPr>
          <w:lang w:val="en-US"/>
        </w:rPr>
        <w:t>For these reasons, it would be very unwise to include losses caused by a violation of conduct of business rules into the scope of the cover provided by the protection scheme</w:t>
      </w:r>
      <w:r w:rsidR="008802AB" w:rsidRPr="00740CB1">
        <w:rPr>
          <w:lang w:val="en-US"/>
        </w:rPr>
        <w:t xml:space="preserve">. </w:t>
      </w:r>
    </w:p>
    <w:p w:rsidR="008802AB" w:rsidRPr="004A1FA1" w:rsidRDefault="00632A19" w:rsidP="009D75EB">
      <w:pPr>
        <w:pStyle w:val="ListParagraph"/>
        <w:numPr>
          <w:ilvl w:val="0"/>
          <w:numId w:val="15"/>
        </w:numPr>
        <w:rPr>
          <w:b/>
          <w:i/>
          <w:lang w:val="en-US"/>
        </w:rPr>
      </w:pPr>
      <w:r w:rsidRPr="004A1FA1">
        <w:rPr>
          <w:b/>
          <w:i/>
          <w:lang w:val="en-US"/>
        </w:rPr>
        <w:t xml:space="preserve">Do you agree with the idea that the amount covered by the ICSD should be adapted following the updating of the DGSD ? </w:t>
      </w:r>
    </w:p>
    <w:p w:rsidR="00632A19" w:rsidRPr="00E442C6" w:rsidRDefault="00D81AF2" w:rsidP="00632A19">
      <w:pPr>
        <w:pStyle w:val="ListParagraph"/>
        <w:numPr>
          <w:ilvl w:val="0"/>
          <w:numId w:val="21"/>
        </w:numPr>
        <w:rPr>
          <w:lang w:val="en-US"/>
        </w:rPr>
      </w:pPr>
      <w:r>
        <w:rPr>
          <w:lang w:val="en-US"/>
        </w:rPr>
        <w:t>There</w:t>
      </w:r>
      <w:r w:rsidR="00740CB1" w:rsidRPr="00740CB1">
        <w:rPr>
          <w:lang w:val="en-US"/>
        </w:rPr>
        <w:t xml:space="preserve"> is a clear difference between the nature of risks as for deposit</w:t>
      </w:r>
      <w:r>
        <w:rPr>
          <w:lang w:val="en-US"/>
        </w:rPr>
        <w:t>-</w:t>
      </w:r>
      <w:r w:rsidR="00740CB1" w:rsidRPr="00740CB1">
        <w:rPr>
          <w:lang w:val="en-US"/>
        </w:rPr>
        <w:t xml:space="preserve">guarantee on the one hand, and </w:t>
      </w:r>
      <w:r w:rsidR="00740CB1">
        <w:rPr>
          <w:lang w:val="en-US"/>
        </w:rPr>
        <w:t>that of risks as for investor protection</w:t>
      </w:r>
      <w:r>
        <w:rPr>
          <w:lang w:val="en-US"/>
        </w:rPr>
        <w:t xml:space="preserve"> on the other</w:t>
      </w:r>
      <w:r w:rsidR="00632A19" w:rsidRPr="00740CB1">
        <w:rPr>
          <w:lang w:val="en-US"/>
        </w:rPr>
        <w:t xml:space="preserve">. </w:t>
      </w:r>
      <w:r w:rsidR="00740CB1">
        <w:rPr>
          <w:lang w:val="en-US"/>
        </w:rPr>
        <w:t>This conclusion clearly is endorsed by the evidence gained from the current financial crisis</w:t>
      </w:r>
      <w:r w:rsidR="00632A19" w:rsidRPr="00740CB1">
        <w:rPr>
          <w:lang w:val="en-US"/>
        </w:rPr>
        <w:t xml:space="preserve">. </w:t>
      </w:r>
      <w:r w:rsidR="00740CB1" w:rsidRPr="000260BD">
        <w:rPr>
          <w:lang w:val="en-US"/>
        </w:rPr>
        <w:t>Deposit</w:t>
      </w:r>
      <w:r>
        <w:rPr>
          <w:lang w:val="en-US"/>
        </w:rPr>
        <w:t>-</w:t>
      </w:r>
      <w:r w:rsidR="00740CB1" w:rsidRPr="000260BD">
        <w:rPr>
          <w:lang w:val="en-US"/>
        </w:rPr>
        <w:t>guarantee has been in the line of fire</w:t>
      </w:r>
      <w:r w:rsidR="00615546" w:rsidRPr="000260BD">
        <w:rPr>
          <w:lang w:val="en-US"/>
        </w:rPr>
        <w:t xml:space="preserve">. </w:t>
      </w:r>
      <w:r w:rsidR="00740CB1" w:rsidRPr="00E442C6">
        <w:rPr>
          <w:lang w:val="en-US"/>
        </w:rPr>
        <w:t xml:space="preserve">There have been no major problems as for </w:t>
      </w:r>
      <w:r w:rsidR="00E442C6" w:rsidRPr="00E442C6">
        <w:rPr>
          <w:lang w:val="en-US"/>
        </w:rPr>
        <w:t xml:space="preserve">investor protection and  ordinary investors in </w:t>
      </w:r>
      <w:r w:rsidR="00E442C6">
        <w:rPr>
          <w:lang w:val="en-US"/>
        </w:rPr>
        <w:t>f</w:t>
      </w:r>
      <w:r w:rsidR="00E442C6" w:rsidRPr="00E442C6">
        <w:rPr>
          <w:lang w:val="en-US"/>
        </w:rPr>
        <w:t xml:space="preserve">inancial </w:t>
      </w:r>
      <w:r w:rsidR="00E442C6">
        <w:rPr>
          <w:lang w:val="en-US"/>
        </w:rPr>
        <w:t>instruments hardly asked any questions in this respect</w:t>
      </w:r>
      <w:r w:rsidR="005403EA" w:rsidRPr="00E442C6">
        <w:rPr>
          <w:lang w:val="en-US"/>
        </w:rPr>
        <w:t xml:space="preserve">. </w:t>
      </w:r>
    </w:p>
    <w:p w:rsidR="005403EA" w:rsidRPr="00564043" w:rsidRDefault="000260BD" w:rsidP="00632A19">
      <w:pPr>
        <w:pStyle w:val="ListParagraph"/>
        <w:numPr>
          <w:ilvl w:val="0"/>
          <w:numId w:val="21"/>
        </w:numPr>
        <w:rPr>
          <w:lang w:val="en-US"/>
        </w:rPr>
      </w:pPr>
      <w:r w:rsidRPr="000260BD">
        <w:rPr>
          <w:lang w:val="en-US"/>
        </w:rPr>
        <w:t xml:space="preserve">The conclusion from this is that there is no need </w:t>
      </w:r>
      <w:proofErr w:type="spellStart"/>
      <w:r w:rsidRPr="000260BD">
        <w:rPr>
          <w:lang w:val="en-US"/>
        </w:rPr>
        <w:t>nor</w:t>
      </w:r>
      <w:proofErr w:type="spellEnd"/>
      <w:r w:rsidRPr="000260BD">
        <w:rPr>
          <w:lang w:val="en-US"/>
        </w:rPr>
        <w:t xml:space="preserve"> reason for absolutely trying to maintaining the minimum amounts guaranteed under the system of deposit guarantee and that of investor protection at the same level</w:t>
      </w:r>
      <w:r w:rsidR="005403EA" w:rsidRPr="000260BD">
        <w:rPr>
          <w:lang w:val="en-US"/>
        </w:rPr>
        <w:t xml:space="preserve">. </w:t>
      </w:r>
      <w:r w:rsidRPr="000260BD">
        <w:rPr>
          <w:lang w:val="en-US"/>
        </w:rPr>
        <w:t xml:space="preserve">There is no need for increasing the minimum amount guaranteed under the system of investor protection </w:t>
      </w:r>
      <w:r w:rsidR="005403EA" w:rsidRPr="000260BD">
        <w:rPr>
          <w:lang w:val="en-US"/>
        </w:rPr>
        <w:t>(20</w:t>
      </w:r>
      <w:r w:rsidRPr="000260BD">
        <w:rPr>
          <w:lang w:val="en-US"/>
        </w:rPr>
        <w:t>,</w:t>
      </w:r>
      <w:r w:rsidR="005403EA" w:rsidRPr="000260BD">
        <w:rPr>
          <w:lang w:val="en-US"/>
        </w:rPr>
        <w:t>000 EUR)</w:t>
      </w:r>
      <w:r w:rsidRPr="000260BD">
        <w:rPr>
          <w:lang w:val="en-US"/>
        </w:rPr>
        <w:t xml:space="preserve">, since the current level has had no negative influence on the confidence of savers and investors </w:t>
      </w:r>
      <w:r w:rsidR="00564043">
        <w:rPr>
          <w:lang w:val="en-US"/>
        </w:rPr>
        <w:t>during this very bad crisis</w:t>
      </w:r>
      <w:r w:rsidR="005403EA" w:rsidRPr="000260BD">
        <w:rPr>
          <w:lang w:val="en-US"/>
        </w:rPr>
        <w:t xml:space="preserve">. </w:t>
      </w:r>
      <w:r w:rsidR="00564043" w:rsidRPr="00564043">
        <w:rPr>
          <w:lang w:val="en-US"/>
        </w:rPr>
        <w:t xml:space="preserve">Indeed, one must be well aware of the consequences of a possible increase of this kind (which </w:t>
      </w:r>
      <w:r w:rsidR="00B246B1">
        <w:rPr>
          <w:lang w:val="en-US"/>
        </w:rPr>
        <w:t>m</w:t>
      </w:r>
      <w:r w:rsidR="00564043" w:rsidRPr="00564043">
        <w:rPr>
          <w:lang w:val="en-US"/>
        </w:rPr>
        <w:t xml:space="preserve">ay </w:t>
      </w:r>
      <w:r w:rsidR="00564043">
        <w:rPr>
          <w:lang w:val="en-US"/>
        </w:rPr>
        <w:t>c</w:t>
      </w:r>
      <w:r w:rsidR="00564043" w:rsidRPr="00564043">
        <w:rPr>
          <w:lang w:val="en-US"/>
        </w:rPr>
        <w:t>ause further distortions of competition</w:t>
      </w:r>
      <w:r w:rsidR="00B246B1">
        <w:rPr>
          <w:lang w:val="en-US"/>
        </w:rPr>
        <w:t xml:space="preserve"> among other things</w:t>
      </w:r>
      <w:r w:rsidR="00564043" w:rsidRPr="00564043">
        <w:rPr>
          <w:lang w:val="en-US"/>
        </w:rPr>
        <w:t>), especially as for protection schemes with</w:t>
      </w:r>
      <w:r w:rsidR="005403EA" w:rsidRPr="00564043">
        <w:rPr>
          <w:lang w:val="en-US"/>
        </w:rPr>
        <w:t xml:space="preserve"> ex ante </w:t>
      </w:r>
      <w:r w:rsidR="00564043">
        <w:rPr>
          <w:lang w:val="en-US"/>
        </w:rPr>
        <w:t>funding</w:t>
      </w:r>
      <w:r w:rsidR="005403EA" w:rsidRPr="00564043">
        <w:rPr>
          <w:lang w:val="en-US"/>
        </w:rPr>
        <w:t xml:space="preserve">. </w:t>
      </w:r>
    </w:p>
    <w:p w:rsidR="005403EA" w:rsidRPr="004A1FA1" w:rsidRDefault="00730206" w:rsidP="009D75EB">
      <w:pPr>
        <w:pStyle w:val="ListParagraph"/>
        <w:numPr>
          <w:ilvl w:val="0"/>
          <w:numId w:val="15"/>
        </w:numPr>
        <w:rPr>
          <w:b/>
          <w:i/>
          <w:lang w:val="en-US"/>
        </w:rPr>
      </w:pPr>
      <w:r w:rsidRPr="004A1FA1">
        <w:rPr>
          <w:b/>
          <w:i/>
          <w:lang w:val="en-US"/>
        </w:rPr>
        <w:t xml:space="preserve">The ICSD does not harmonize the funding systems of the schemes. Should ICSD provide for some general principles concerning the funding of the schemes ? </w:t>
      </w:r>
    </w:p>
    <w:p w:rsidR="00730206" w:rsidRPr="00A937D5" w:rsidRDefault="0011382D" w:rsidP="00730206">
      <w:pPr>
        <w:pStyle w:val="ListParagraph"/>
        <w:numPr>
          <w:ilvl w:val="0"/>
          <w:numId w:val="22"/>
        </w:numPr>
        <w:rPr>
          <w:lang w:val="en-US"/>
        </w:rPr>
      </w:pPr>
      <w:r w:rsidRPr="00564043">
        <w:rPr>
          <w:lang w:val="en-US"/>
        </w:rPr>
        <w:t>In Belgi</w:t>
      </w:r>
      <w:r w:rsidR="00564043" w:rsidRPr="00564043">
        <w:rPr>
          <w:lang w:val="en-US"/>
        </w:rPr>
        <w:t>um, deposit</w:t>
      </w:r>
      <w:r w:rsidR="00B246B1">
        <w:rPr>
          <w:lang w:val="en-US"/>
        </w:rPr>
        <w:t>-</w:t>
      </w:r>
      <w:r w:rsidR="00564043" w:rsidRPr="00564043">
        <w:rPr>
          <w:lang w:val="en-US"/>
        </w:rPr>
        <w:t xml:space="preserve">guarantee and investor protection have been put together into one single scheme in </w:t>
      </w:r>
      <w:r w:rsidR="002224ED">
        <w:rPr>
          <w:lang w:val="en-US"/>
        </w:rPr>
        <w:t xml:space="preserve">which both credit institutions and </w:t>
      </w:r>
      <w:proofErr w:type="spellStart"/>
      <w:r w:rsidR="002224ED">
        <w:rPr>
          <w:lang w:val="en-US"/>
        </w:rPr>
        <w:t>stockbroking</w:t>
      </w:r>
      <w:proofErr w:type="spellEnd"/>
      <w:r w:rsidR="002224ED">
        <w:rPr>
          <w:lang w:val="en-US"/>
        </w:rPr>
        <w:t xml:space="preserve"> firms </w:t>
      </w:r>
      <w:r w:rsidR="00A937D5">
        <w:rPr>
          <w:lang w:val="en-US"/>
        </w:rPr>
        <w:t>take part</w:t>
      </w:r>
      <w:r w:rsidRPr="00564043">
        <w:rPr>
          <w:lang w:val="en-US"/>
        </w:rPr>
        <w:t xml:space="preserve">. </w:t>
      </w:r>
      <w:r w:rsidR="002224ED" w:rsidRPr="00A937D5">
        <w:rPr>
          <w:lang w:val="en-US"/>
        </w:rPr>
        <w:t xml:space="preserve">Funding is based on </w:t>
      </w:r>
      <w:r w:rsidR="00A937D5" w:rsidRPr="00A937D5">
        <w:rPr>
          <w:lang w:val="en-US"/>
        </w:rPr>
        <w:t>an integrated system covering the deposit</w:t>
      </w:r>
      <w:r w:rsidR="00B246B1">
        <w:rPr>
          <w:lang w:val="en-US"/>
        </w:rPr>
        <w:t>-</w:t>
      </w:r>
      <w:r w:rsidR="00A937D5" w:rsidRPr="00A937D5">
        <w:rPr>
          <w:lang w:val="en-US"/>
        </w:rPr>
        <w:t xml:space="preserve">guarantee as well as the protection of those who hold </w:t>
      </w:r>
      <w:r w:rsidR="00A937D5">
        <w:rPr>
          <w:lang w:val="en-US"/>
        </w:rPr>
        <w:t>f</w:t>
      </w:r>
      <w:r w:rsidR="00A937D5" w:rsidRPr="00A937D5">
        <w:rPr>
          <w:lang w:val="en-US"/>
        </w:rPr>
        <w:t>inancial inst</w:t>
      </w:r>
      <w:r w:rsidR="00A937D5">
        <w:rPr>
          <w:lang w:val="en-US"/>
        </w:rPr>
        <w:t>r</w:t>
      </w:r>
      <w:r w:rsidR="00A937D5" w:rsidRPr="00A937D5">
        <w:rPr>
          <w:lang w:val="en-US"/>
        </w:rPr>
        <w:t>ume</w:t>
      </w:r>
      <w:r w:rsidR="00A937D5">
        <w:rPr>
          <w:lang w:val="en-US"/>
        </w:rPr>
        <w:t>nts</w:t>
      </w:r>
      <w:r w:rsidRPr="00A937D5">
        <w:rPr>
          <w:lang w:val="en-US"/>
        </w:rPr>
        <w:t xml:space="preserve">. </w:t>
      </w:r>
      <w:r w:rsidR="00A937D5">
        <w:rPr>
          <w:lang w:val="en-US"/>
        </w:rPr>
        <w:t xml:space="preserve">Bringing both schemes together certainly offers advantages </w:t>
      </w:r>
      <w:r w:rsidRPr="00A937D5">
        <w:rPr>
          <w:lang w:val="en-US"/>
        </w:rPr>
        <w:t>(</w:t>
      </w:r>
      <w:r w:rsidR="00A937D5" w:rsidRPr="00A937D5">
        <w:rPr>
          <w:lang w:val="en-US"/>
        </w:rPr>
        <w:t>especially in a s</w:t>
      </w:r>
      <w:r w:rsidR="00A937D5">
        <w:rPr>
          <w:lang w:val="en-US"/>
        </w:rPr>
        <w:t>mall country</w:t>
      </w:r>
      <w:r w:rsidRPr="00A937D5">
        <w:rPr>
          <w:lang w:val="en-US"/>
        </w:rPr>
        <w:t xml:space="preserve">) </w:t>
      </w:r>
      <w:r w:rsidR="00A937D5">
        <w:rPr>
          <w:lang w:val="en-US"/>
        </w:rPr>
        <w:t>as for the financial capacity and cost-efficient functioning</w:t>
      </w:r>
      <w:r w:rsidRPr="00A937D5">
        <w:rPr>
          <w:lang w:val="en-US"/>
        </w:rPr>
        <w:t xml:space="preserve">. </w:t>
      </w:r>
    </w:p>
    <w:p w:rsidR="0011382D" w:rsidRPr="00A937D5" w:rsidRDefault="00A937D5" w:rsidP="00730206">
      <w:pPr>
        <w:pStyle w:val="ListParagraph"/>
        <w:numPr>
          <w:ilvl w:val="0"/>
          <w:numId w:val="22"/>
        </w:numPr>
        <w:rPr>
          <w:lang w:val="en-US"/>
        </w:rPr>
      </w:pPr>
      <w:r w:rsidRPr="00A937D5">
        <w:rPr>
          <w:lang w:val="en-US"/>
        </w:rPr>
        <w:t>It certainly would be wrong if Europe makes it difficult or even impossible to operate such a</w:t>
      </w:r>
      <w:r w:rsidR="00811C27">
        <w:rPr>
          <w:lang w:val="en-US"/>
        </w:rPr>
        <w:t xml:space="preserve"> combined</w:t>
      </w:r>
      <w:r w:rsidRPr="00A937D5">
        <w:rPr>
          <w:lang w:val="en-US"/>
        </w:rPr>
        <w:t xml:space="preserve"> system</w:t>
      </w:r>
      <w:r w:rsidR="0011382D" w:rsidRPr="00A937D5">
        <w:rPr>
          <w:lang w:val="en-US"/>
        </w:rPr>
        <w:t xml:space="preserve">. </w:t>
      </w:r>
    </w:p>
    <w:p w:rsidR="0011382D" w:rsidRDefault="00A937D5" w:rsidP="00730206">
      <w:pPr>
        <w:pStyle w:val="ListParagraph"/>
        <w:numPr>
          <w:ilvl w:val="0"/>
          <w:numId w:val="22"/>
        </w:numPr>
        <w:rPr>
          <w:lang w:val="nl-BE"/>
        </w:rPr>
      </w:pPr>
      <w:r w:rsidRPr="00A937D5">
        <w:rPr>
          <w:lang w:val="en-US"/>
        </w:rPr>
        <w:t xml:space="preserve">Consequently, it seems highly recommendable, within the EU regulation, to leave a large degree of freedom </w:t>
      </w:r>
      <w:r>
        <w:rPr>
          <w:lang w:val="en-US"/>
        </w:rPr>
        <w:t>for the Member States as for system organization and functioning</w:t>
      </w:r>
      <w:r w:rsidR="00171848" w:rsidRPr="00A937D5">
        <w:rPr>
          <w:lang w:val="en-US"/>
        </w:rPr>
        <w:t xml:space="preserve">. </w:t>
      </w:r>
      <w:r>
        <w:rPr>
          <w:lang w:val="en-US"/>
        </w:rPr>
        <w:t>So, there is no need for additional European rules</w:t>
      </w:r>
      <w:r w:rsidR="00132804">
        <w:rPr>
          <w:lang w:val="nl-BE"/>
        </w:rPr>
        <w:t xml:space="preserve">. </w:t>
      </w:r>
    </w:p>
    <w:p w:rsidR="00132804" w:rsidRPr="000C490D" w:rsidRDefault="00A937D5" w:rsidP="00730206">
      <w:pPr>
        <w:pStyle w:val="ListParagraph"/>
        <w:numPr>
          <w:ilvl w:val="0"/>
          <w:numId w:val="22"/>
        </w:numPr>
        <w:rPr>
          <w:lang w:val="en-US"/>
        </w:rPr>
      </w:pPr>
      <w:r w:rsidRPr="000C490D">
        <w:rPr>
          <w:lang w:val="en-US"/>
        </w:rPr>
        <w:t xml:space="preserve">However, should there be any plans for tightening </w:t>
      </w:r>
      <w:r w:rsidR="000C490D" w:rsidRPr="000C490D">
        <w:rPr>
          <w:lang w:val="en-US"/>
        </w:rPr>
        <w:t>the EU regulation in this respect</w:t>
      </w:r>
      <w:r w:rsidR="00132804" w:rsidRPr="000C490D">
        <w:rPr>
          <w:lang w:val="en-US"/>
        </w:rPr>
        <w:t xml:space="preserve">, </w:t>
      </w:r>
      <w:r w:rsidR="000C490D" w:rsidRPr="000C490D">
        <w:rPr>
          <w:lang w:val="en-US"/>
        </w:rPr>
        <w:t>one certainly has to take into account the need for compatibility with the rules governing the deposit guaranteed</w:t>
      </w:r>
      <w:r w:rsidR="00132804" w:rsidRPr="000C490D">
        <w:rPr>
          <w:lang w:val="en-US"/>
        </w:rPr>
        <w:t xml:space="preserve">. </w:t>
      </w:r>
    </w:p>
    <w:p w:rsidR="00132804" w:rsidRPr="004A1FA1" w:rsidRDefault="00132804" w:rsidP="009D75EB">
      <w:pPr>
        <w:pStyle w:val="ListParagraph"/>
        <w:numPr>
          <w:ilvl w:val="0"/>
          <w:numId w:val="15"/>
        </w:numPr>
        <w:rPr>
          <w:b/>
          <w:i/>
          <w:lang w:val="en-US"/>
        </w:rPr>
      </w:pPr>
      <w:r w:rsidRPr="004A1FA1">
        <w:rPr>
          <w:b/>
          <w:i/>
          <w:lang w:val="en-US"/>
        </w:rPr>
        <w:t>8.a)</w:t>
      </w:r>
      <w:r w:rsidR="009D2EBC" w:rsidRPr="004A1FA1">
        <w:rPr>
          <w:b/>
          <w:i/>
          <w:lang w:val="en-US"/>
        </w:rPr>
        <w:t xml:space="preserve"> Does </w:t>
      </w:r>
      <w:r w:rsidR="000C490D">
        <w:rPr>
          <w:b/>
          <w:i/>
          <w:lang w:val="en-US"/>
        </w:rPr>
        <w:t>the</w:t>
      </w:r>
      <w:r w:rsidR="009D2EBC" w:rsidRPr="004A1FA1">
        <w:rPr>
          <w:b/>
          <w:i/>
          <w:lang w:val="en-US"/>
        </w:rPr>
        <w:t xml:space="preserve"> legislation of the Mem</w:t>
      </w:r>
      <w:r w:rsidRPr="004A1FA1">
        <w:rPr>
          <w:b/>
          <w:i/>
          <w:lang w:val="en-US"/>
        </w:rPr>
        <w:t xml:space="preserve">ber State you know the best provide mechanisms aimed at limiting compensation schemes’ obligations over time ? If yes, how many clients saw their compensation unpaid </w:t>
      </w:r>
      <w:r w:rsidR="00C82604">
        <w:rPr>
          <w:b/>
          <w:i/>
          <w:lang w:val="en-US"/>
        </w:rPr>
        <w:t>as a result of such mechanisms ?</w:t>
      </w:r>
      <w:r w:rsidRPr="004A1FA1">
        <w:rPr>
          <w:b/>
          <w:i/>
          <w:lang w:val="en-US"/>
        </w:rPr>
        <w:t xml:space="preserve"> 8.b) Should this kind of mechanisms be prohibited ? </w:t>
      </w:r>
    </w:p>
    <w:p w:rsidR="00132804" w:rsidRPr="000C490D" w:rsidRDefault="000C490D" w:rsidP="00132804">
      <w:pPr>
        <w:pStyle w:val="ListParagraph"/>
        <w:numPr>
          <w:ilvl w:val="0"/>
          <w:numId w:val="23"/>
        </w:numPr>
        <w:rPr>
          <w:lang w:val="en-US"/>
        </w:rPr>
      </w:pPr>
      <w:r w:rsidRPr="000C490D">
        <w:rPr>
          <w:lang w:val="en-US"/>
        </w:rPr>
        <w:t xml:space="preserve">Restrictive rules of this kind have not been included into the Belgian protection scheme for financial </w:t>
      </w:r>
      <w:r>
        <w:rPr>
          <w:lang w:val="en-US"/>
        </w:rPr>
        <w:t>instruments</w:t>
      </w:r>
      <w:r w:rsidR="009D2EBC" w:rsidRPr="000C490D">
        <w:rPr>
          <w:lang w:val="en-US"/>
        </w:rPr>
        <w:t xml:space="preserve">. </w:t>
      </w:r>
    </w:p>
    <w:p w:rsidR="001E7E23" w:rsidRPr="000C490D" w:rsidRDefault="000C490D" w:rsidP="001E7E23">
      <w:pPr>
        <w:pStyle w:val="ListParagraph"/>
        <w:numPr>
          <w:ilvl w:val="0"/>
          <w:numId w:val="23"/>
        </w:numPr>
        <w:rPr>
          <w:lang w:val="en-US"/>
        </w:rPr>
      </w:pPr>
      <w:r w:rsidRPr="000C490D">
        <w:rPr>
          <w:lang w:val="en-US"/>
        </w:rPr>
        <w:t xml:space="preserve">One may wonder if rules such as these would be compatible with the underlying principles of the </w:t>
      </w:r>
      <w:r w:rsidR="009D2EBC" w:rsidRPr="000C490D">
        <w:rPr>
          <w:lang w:val="en-US"/>
        </w:rPr>
        <w:t xml:space="preserve">ICSD. </w:t>
      </w:r>
    </w:p>
    <w:p w:rsidR="001E7E23" w:rsidRPr="004A1FA1" w:rsidRDefault="001E7E23" w:rsidP="009D75EB">
      <w:pPr>
        <w:pStyle w:val="ListParagraph"/>
        <w:numPr>
          <w:ilvl w:val="0"/>
          <w:numId w:val="15"/>
        </w:numPr>
        <w:rPr>
          <w:b/>
          <w:i/>
          <w:lang w:val="en-US"/>
        </w:rPr>
      </w:pPr>
      <w:r w:rsidRPr="004A1FA1">
        <w:rPr>
          <w:b/>
          <w:i/>
          <w:lang w:val="en-US"/>
        </w:rPr>
        <w:t>9.a)</w:t>
      </w:r>
      <w:r w:rsidR="00C82604">
        <w:rPr>
          <w:b/>
          <w:i/>
          <w:lang w:val="en-US"/>
        </w:rPr>
        <w:t xml:space="preserve"> </w:t>
      </w:r>
      <w:r w:rsidRPr="004A1FA1">
        <w:rPr>
          <w:b/>
          <w:i/>
          <w:lang w:val="en-US"/>
        </w:rPr>
        <w:t xml:space="preserve">Should the process of recognizing the eligibility of the claim be regulated for the purposes of the ICSD ? 9.b) Should, at least, a mechanism be introduced providing for provisional partial compensation based on a summary assessment of clients’ positions ? 9.c) Irrespective of the harmonization of their funding systems, should compensation schemes ensure that they have minimum reserve funds in order to comply rapidly with any immediate needs ? </w:t>
      </w:r>
    </w:p>
    <w:p w:rsidR="001E7E23" w:rsidRPr="000C490D" w:rsidRDefault="000C490D" w:rsidP="001E7E23">
      <w:pPr>
        <w:pStyle w:val="ListParagraph"/>
        <w:numPr>
          <w:ilvl w:val="0"/>
          <w:numId w:val="24"/>
        </w:numPr>
        <w:rPr>
          <w:lang w:val="en-US"/>
        </w:rPr>
      </w:pPr>
      <w:r w:rsidRPr="000C490D">
        <w:rPr>
          <w:lang w:val="en-US"/>
        </w:rPr>
        <w:t>It cannot be denied that the procedu</w:t>
      </w:r>
      <w:r w:rsidR="008A0C7F" w:rsidRPr="000C490D">
        <w:rPr>
          <w:lang w:val="en-US"/>
        </w:rPr>
        <w:t xml:space="preserve">res </w:t>
      </w:r>
      <w:r w:rsidRPr="000C490D">
        <w:rPr>
          <w:lang w:val="en-US"/>
        </w:rPr>
        <w:t xml:space="preserve">for determining the </w:t>
      </w:r>
      <w:r w:rsidR="008A0C7F" w:rsidRPr="000C490D">
        <w:rPr>
          <w:lang w:val="en-US"/>
        </w:rPr>
        <w:t xml:space="preserve">eligibility </w:t>
      </w:r>
      <w:r w:rsidRPr="000C490D">
        <w:rPr>
          <w:lang w:val="en-US"/>
        </w:rPr>
        <w:t>and the exact amount of the claim as for financial</w:t>
      </w:r>
      <w:r w:rsidR="008A0C7F" w:rsidRPr="000C490D">
        <w:rPr>
          <w:lang w:val="en-US"/>
        </w:rPr>
        <w:t xml:space="preserve"> instrument</w:t>
      </w:r>
      <w:r w:rsidRPr="000C490D">
        <w:rPr>
          <w:lang w:val="en-US"/>
        </w:rPr>
        <w:t>s are complicated</w:t>
      </w:r>
      <w:r w:rsidR="001D20FA" w:rsidRPr="000C490D">
        <w:rPr>
          <w:lang w:val="en-US"/>
        </w:rPr>
        <w:t xml:space="preserve"> (</w:t>
      </w:r>
      <w:r w:rsidRPr="000C490D">
        <w:rPr>
          <w:lang w:val="en-US"/>
        </w:rPr>
        <w:t>and inevitably more complex than those for the deposit</w:t>
      </w:r>
      <w:r w:rsidR="00B246B1">
        <w:rPr>
          <w:lang w:val="en-US"/>
        </w:rPr>
        <w:t>-</w:t>
      </w:r>
      <w:r w:rsidRPr="000C490D">
        <w:rPr>
          <w:lang w:val="en-US"/>
        </w:rPr>
        <w:t>guarantee</w:t>
      </w:r>
      <w:r w:rsidR="001D20FA" w:rsidRPr="000C490D">
        <w:rPr>
          <w:lang w:val="en-US"/>
        </w:rPr>
        <w:t xml:space="preserve">). </w:t>
      </w:r>
      <w:r>
        <w:rPr>
          <w:lang w:val="en-US"/>
        </w:rPr>
        <w:t xml:space="preserve">Part of this has to do with the customer’s possibility for direct recovery and with the problems </w:t>
      </w:r>
      <w:r w:rsidR="00607609">
        <w:rPr>
          <w:lang w:val="en-US"/>
        </w:rPr>
        <w:t>in the field of the correct valuation which is necessary</w:t>
      </w:r>
      <w:r w:rsidR="001D20FA" w:rsidRPr="000C490D">
        <w:rPr>
          <w:lang w:val="en-US"/>
        </w:rPr>
        <w:t xml:space="preserve">. </w:t>
      </w:r>
    </w:p>
    <w:p w:rsidR="001D20FA" w:rsidRPr="00607609" w:rsidRDefault="00607609" w:rsidP="001E7E23">
      <w:pPr>
        <w:pStyle w:val="ListParagraph"/>
        <w:numPr>
          <w:ilvl w:val="0"/>
          <w:numId w:val="24"/>
        </w:numPr>
        <w:rPr>
          <w:lang w:val="en-US"/>
        </w:rPr>
      </w:pPr>
      <w:r w:rsidRPr="00607609">
        <w:rPr>
          <w:lang w:val="en-US"/>
        </w:rPr>
        <w:t xml:space="preserve">Consequently, there is no need for a European regulation on the </w:t>
      </w:r>
      <w:r w:rsidR="001D20FA" w:rsidRPr="00607609">
        <w:rPr>
          <w:lang w:val="en-US"/>
        </w:rPr>
        <w:t>eligibility of the claim</w:t>
      </w:r>
      <w:r w:rsidR="00C82604" w:rsidRPr="00607609">
        <w:rPr>
          <w:lang w:val="en-US"/>
        </w:rPr>
        <w:t>s</w:t>
      </w:r>
      <w:r w:rsidR="001D20FA" w:rsidRPr="00607609">
        <w:rPr>
          <w:lang w:val="en-US"/>
        </w:rPr>
        <w:t xml:space="preserve">. </w:t>
      </w:r>
    </w:p>
    <w:p w:rsidR="001D20FA" w:rsidRPr="00894A74" w:rsidRDefault="00607609" w:rsidP="00F90402">
      <w:pPr>
        <w:pStyle w:val="ListParagraph"/>
        <w:numPr>
          <w:ilvl w:val="0"/>
          <w:numId w:val="24"/>
        </w:numPr>
        <w:rPr>
          <w:lang w:val="en-US"/>
        </w:rPr>
      </w:pPr>
      <w:r w:rsidRPr="00607609">
        <w:rPr>
          <w:lang w:val="en-US"/>
        </w:rPr>
        <w:t>Neither is there a need for shortening the period of reimbursement</w:t>
      </w:r>
      <w:r w:rsidR="001D20FA" w:rsidRPr="00607609">
        <w:rPr>
          <w:lang w:val="en-US"/>
        </w:rPr>
        <w:t xml:space="preserve"> </w:t>
      </w:r>
      <w:r w:rsidR="00C82604" w:rsidRPr="00607609">
        <w:rPr>
          <w:lang w:val="en-US"/>
        </w:rPr>
        <w:t>(3 m</w:t>
      </w:r>
      <w:r w:rsidRPr="00607609">
        <w:rPr>
          <w:lang w:val="en-US"/>
        </w:rPr>
        <w:t>onths</w:t>
      </w:r>
      <w:r w:rsidR="00C82604" w:rsidRPr="00607609">
        <w:rPr>
          <w:lang w:val="en-US"/>
        </w:rPr>
        <w:t xml:space="preserve">) </w:t>
      </w:r>
      <w:r w:rsidRPr="00607609">
        <w:rPr>
          <w:lang w:val="en-US"/>
        </w:rPr>
        <w:t xml:space="preserve">nor for imposing a mechanism on the basis of which the protection schemes </w:t>
      </w:r>
      <w:r w:rsidR="00B246B1">
        <w:rPr>
          <w:lang w:val="en-US"/>
        </w:rPr>
        <w:t>must</w:t>
      </w:r>
      <w:r w:rsidRPr="00607609">
        <w:rPr>
          <w:lang w:val="en-US"/>
        </w:rPr>
        <w:t xml:space="preserve"> </w:t>
      </w:r>
      <w:r w:rsidR="00811C27">
        <w:rPr>
          <w:lang w:val="en-US"/>
        </w:rPr>
        <w:t>make</w:t>
      </w:r>
      <w:r>
        <w:rPr>
          <w:lang w:val="en-US"/>
        </w:rPr>
        <w:t xml:space="preserve"> provisional and partial reimbursements </w:t>
      </w:r>
      <w:r w:rsidR="00C82604" w:rsidRPr="00607609">
        <w:rPr>
          <w:lang w:val="en-US"/>
        </w:rPr>
        <w:t>base</w:t>
      </w:r>
      <w:r w:rsidR="001D20FA" w:rsidRPr="00607609">
        <w:rPr>
          <w:lang w:val="en-US"/>
        </w:rPr>
        <w:t>d</w:t>
      </w:r>
      <w:r w:rsidR="00C82604" w:rsidRPr="00607609">
        <w:rPr>
          <w:lang w:val="en-US"/>
        </w:rPr>
        <w:t xml:space="preserve"> </w:t>
      </w:r>
      <w:r w:rsidR="001D20FA" w:rsidRPr="00607609">
        <w:rPr>
          <w:lang w:val="en-US"/>
        </w:rPr>
        <w:t>on a summary assessment of</w:t>
      </w:r>
      <w:r>
        <w:rPr>
          <w:lang w:val="en-US"/>
        </w:rPr>
        <w:t xml:space="preserve"> the</w:t>
      </w:r>
      <w:r w:rsidR="001D20FA" w:rsidRPr="00607609">
        <w:rPr>
          <w:lang w:val="en-US"/>
        </w:rPr>
        <w:t xml:space="preserve"> clients’ positions. In</w:t>
      </w:r>
      <w:r w:rsidRPr="00607609">
        <w:rPr>
          <w:lang w:val="en-US"/>
        </w:rPr>
        <w:t>deed, in</w:t>
      </w:r>
      <w:r w:rsidR="001D20FA" w:rsidRPr="00607609">
        <w:rPr>
          <w:lang w:val="en-US"/>
        </w:rPr>
        <w:t xml:space="preserve"> </w:t>
      </w:r>
      <w:r w:rsidRPr="00607609">
        <w:rPr>
          <w:lang w:val="en-US"/>
        </w:rPr>
        <w:t>the case of investor protection, there rarely is a vital need for customers to have their assets immediately at their disposal</w:t>
      </w:r>
      <w:r w:rsidR="001D20FA" w:rsidRPr="00607609">
        <w:rPr>
          <w:lang w:val="en-US"/>
        </w:rPr>
        <w:t xml:space="preserve">. </w:t>
      </w:r>
      <w:r w:rsidR="00894A74">
        <w:rPr>
          <w:lang w:val="en-US"/>
        </w:rPr>
        <w:t xml:space="preserve">These assets quite naturally are to be considered as ‘investments’ </w:t>
      </w:r>
      <w:r w:rsidR="001D20FA" w:rsidRPr="00894A74">
        <w:rPr>
          <w:lang w:val="en-US"/>
        </w:rPr>
        <w:t>(</w:t>
      </w:r>
      <w:r w:rsidR="00894A74" w:rsidRPr="00894A74">
        <w:rPr>
          <w:lang w:val="en-US"/>
        </w:rPr>
        <w:t>and not as cash balances,</w:t>
      </w:r>
      <w:r w:rsidR="001568B6" w:rsidRPr="00894A74">
        <w:rPr>
          <w:lang w:val="en-US"/>
        </w:rPr>
        <w:t xml:space="preserve"> </w:t>
      </w:r>
      <w:r w:rsidR="00894A74">
        <w:rPr>
          <w:lang w:val="en-US"/>
        </w:rPr>
        <w:t>as is the case for demand deposits held by banks</w:t>
      </w:r>
      <w:r w:rsidR="001D20FA" w:rsidRPr="00894A74">
        <w:rPr>
          <w:lang w:val="en-US"/>
        </w:rPr>
        <w:t xml:space="preserve">). </w:t>
      </w:r>
    </w:p>
    <w:p w:rsidR="00716090" w:rsidRDefault="00716090">
      <w:pPr>
        <w:spacing w:after="0" w:line="240" w:lineRule="auto"/>
        <w:jc w:val="left"/>
        <w:rPr>
          <w:b/>
          <w:i/>
          <w:lang w:val="en-US"/>
        </w:rPr>
      </w:pPr>
      <w:r>
        <w:rPr>
          <w:b/>
          <w:i/>
          <w:lang w:val="en-US"/>
        </w:rPr>
        <w:br w:type="page"/>
      </w:r>
    </w:p>
    <w:p w:rsidR="00F90402" w:rsidRPr="004A1FA1" w:rsidRDefault="009D75EB" w:rsidP="009D75EB">
      <w:pPr>
        <w:pStyle w:val="ListParagraph"/>
        <w:numPr>
          <w:ilvl w:val="0"/>
          <w:numId w:val="15"/>
        </w:numPr>
        <w:rPr>
          <w:b/>
          <w:i/>
          <w:lang w:val="en-US"/>
        </w:rPr>
      </w:pPr>
      <w:r w:rsidRPr="00894A74">
        <w:rPr>
          <w:b/>
          <w:i/>
          <w:lang w:val="en-US"/>
        </w:rPr>
        <w:t xml:space="preserve"> </w:t>
      </w:r>
      <w:r w:rsidR="00F90402" w:rsidRPr="004A1FA1">
        <w:rPr>
          <w:b/>
          <w:i/>
          <w:lang w:val="en-US"/>
        </w:rPr>
        <w:t xml:space="preserve">Do you think special attention should be given to money market funds ? </w:t>
      </w:r>
    </w:p>
    <w:p w:rsidR="00F90402" w:rsidRPr="00894A74" w:rsidRDefault="00894A74" w:rsidP="00F90402">
      <w:pPr>
        <w:pStyle w:val="ListParagraph"/>
        <w:numPr>
          <w:ilvl w:val="0"/>
          <w:numId w:val="25"/>
        </w:numPr>
        <w:rPr>
          <w:lang w:val="en-US"/>
        </w:rPr>
      </w:pPr>
      <w:r w:rsidRPr="00894A74">
        <w:rPr>
          <w:lang w:val="en-US"/>
        </w:rPr>
        <w:t>Apparently, this is yet another concern which lies outside the actual scope of the investor protection scheme</w:t>
      </w:r>
      <w:r w:rsidR="008B7758" w:rsidRPr="00894A74">
        <w:rPr>
          <w:lang w:val="en-US"/>
        </w:rPr>
        <w:t xml:space="preserve">. </w:t>
      </w:r>
      <w:r>
        <w:rPr>
          <w:lang w:val="en-US"/>
        </w:rPr>
        <w:t>The aim of this system is not to cover the investment risk</w:t>
      </w:r>
      <w:r w:rsidR="00C82604" w:rsidRPr="00894A74">
        <w:rPr>
          <w:lang w:val="en-US"/>
        </w:rPr>
        <w:t>.</w:t>
      </w:r>
      <w:r w:rsidR="008B7758" w:rsidRPr="00894A74">
        <w:rPr>
          <w:lang w:val="en-US"/>
        </w:rPr>
        <w:t xml:space="preserve"> </w:t>
      </w:r>
      <w:r>
        <w:rPr>
          <w:lang w:val="en-US"/>
        </w:rPr>
        <w:t>It would be unwise to call upon the f</w:t>
      </w:r>
      <w:r w:rsidRPr="00894A74">
        <w:rPr>
          <w:lang w:val="en-US"/>
        </w:rPr>
        <w:t xml:space="preserve">inancial </w:t>
      </w:r>
      <w:r w:rsidR="008B7758" w:rsidRPr="00894A74">
        <w:rPr>
          <w:lang w:val="en-US"/>
        </w:rPr>
        <w:t>solidarit</w:t>
      </w:r>
      <w:r w:rsidRPr="00894A74">
        <w:rPr>
          <w:lang w:val="en-US"/>
        </w:rPr>
        <w:t>y of the sector for this kind of risk covering</w:t>
      </w:r>
      <w:r w:rsidR="008B7758" w:rsidRPr="00894A74">
        <w:rPr>
          <w:lang w:val="en-US"/>
        </w:rPr>
        <w:t xml:space="preserve">. </w:t>
      </w:r>
      <w:r>
        <w:rPr>
          <w:lang w:val="en-US"/>
        </w:rPr>
        <w:t>One should use other channels and devices for providing o</w:t>
      </w:r>
      <w:r w:rsidRPr="00894A74">
        <w:rPr>
          <w:lang w:val="en-US"/>
        </w:rPr>
        <w:t>ptimal guarantees in the field of security and liquidity</w:t>
      </w:r>
      <w:r w:rsidR="008B7758" w:rsidRPr="00894A74">
        <w:rPr>
          <w:lang w:val="en-US"/>
        </w:rPr>
        <w:t xml:space="preserve">. </w:t>
      </w:r>
    </w:p>
    <w:p w:rsidR="008B7758" w:rsidRDefault="00D27950" w:rsidP="00F90402">
      <w:pPr>
        <w:pStyle w:val="ListParagraph"/>
        <w:numPr>
          <w:ilvl w:val="0"/>
          <w:numId w:val="25"/>
        </w:numPr>
        <w:rPr>
          <w:lang w:val="en-US"/>
        </w:rPr>
      </w:pPr>
      <w:r w:rsidRPr="00130B7E">
        <w:rPr>
          <w:lang w:val="en-US"/>
        </w:rPr>
        <w:t>I</w:t>
      </w:r>
      <w:r w:rsidR="00894A74" w:rsidRPr="00130B7E">
        <w:rPr>
          <w:lang w:val="en-US"/>
        </w:rPr>
        <w:t>f system stability is at stake</w:t>
      </w:r>
      <w:r w:rsidRPr="00130B7E">
        <w:rPr>
          <w:lang w:val="en-US"/>
        </w:rPr>
        <w:t xml:space="preserve">, </w:t>
      </w:r>
      <w:r w:rsidR="00894A74" w:rsidRPr="00130B7E">
        <w:rPr>
          <w:lang w:val="en-US"/>
        </w:rPr>
        <w:t xml:space="preserve">the responsibility first and foremost lies with </w:t>
      </w:r>
      <w:r w:rsidR="00130B7E" w:rsidRPr="00130B7E">
        <w:rPr>
          <w:lang w:val="en-US"/>
        </w:rPr>
        <w:t xml:space="preserve">the authorities which are competent for monitoring </w:t>
      </w:r>
      <w:r w:rsidR="00130B7E">
        <w:rPr>
          <w:lang w:val="en-US"/>
        </w:rPr>
        <w:t xml:space="preserve">and safeguarding </w:t>
      </w:r>
      <w:r w:rsidR="00130B7E" w:rsidRPr="00130B7E">
        <w:rPr>
          <w:lang w:val="en-US"/>
        </w:rPr>
        <w:t xml:space="preserve">stability </w:t>
      </w:r>
      <w:r w:rsidRPr="00130B7E">
        <w:rPr>
          <w:lang w:val="en-US"/>
        </w:rPr>
        <w:t>(</w:t>
      </w:r>
      <w:r w:rsidR="00130B7E">
        <w:rPr>
          <w:lang w:val="en-US"/>
        </w:rPr>
        <w:t xml:space="preserve">among other things by means of </w:t>
      </w:r>
      <w:r w:rsidRPr="00130B7E">
        <w:rPr>
          <w:lang w:val="en-US"/>
        </w:rPr>
        <w:t>adequate reg</w:t>
      </w:r>
      <w:r w:rsidR="00130B7E">
        <w:rPr>
          <w:lang w:val="en-US"/>
        </w:rPr>
        <w:t>ulation and supervision of the activities and services providers concerned</w:t>
      </w:r>
      <w:r w:rsidRPr="00130B7E">
        <w:rPr>
          <w:lang w:val="en-US"/>
        </w:rPr>
        <w:t xml:space="preserve">). </w:t>
      </w:r>
    </w:p>
    <w:p w:rsidR="00296CAC" w:rsidRPr="00130B7E" w:rsidRDefault="00296CAC" w:rsidP="00F90402">
      <w:pPr>
        <w:pStyle w:val="ListParagraph"/>
        <w:numPr>
          <w:ilvl w:val="0"/>
          <w:numId w:val="25"/>
        </w:numPr>
        <w:rPr>
          <w:lang w:val="en-US"/>
        </w:rPr>
      </w:pPr>
      <w:r>
        <w:rPr>
          <w:lang w:val="en-US"/>
        </w:rPr>
        <w:t>A Money market fund, agreed by the regulator</w:t>
      </w:r>
      <w:r w:rsidR="00716090">
        <w:rPr>
          <w:lang w:val="en-US"/>
        </w:rPr>
        <w:t xml:space="preserve"> as a qualified fund</w:t>
      </w:r>
      <w:r>
        <w:rPr>
          <w:lang w:val="en-US"/>
        </w:rPr>
        <w:t xml:space="preserve">, is, with deposits in Central Banks or in </w:t>
      </w:r>
      <w:r w:rsidR="005A2659">
        <w:rPr>
          <w:lang w:val="en-US"/>
        </w:rPr>
        <w:t>c</w:t>
      </w:r>
      <w:r>
        <w:rPr>
          <w:lang w:val="en-US"/>
        </w:rPr>
        <w:t xml:space="preserve">ommercial </w:t>
      </w:r>
      <w:r w:rsidR="005A2659">
        <w:rPr>
          <w:lang w:val="en-US"/>
        </w:rPr>
        <w:t>b</w:t>
      </w:r>
      <w:r>
        <w:rPr>
          <w:lang w:val="en-US"/>
        </w:rPr>
        <w:t xml:space="preserve">anks, the third way at disposal of investment firms to invest segregated funds waiting for (re)investment. In a practical way, no </w:t>
      </w:r>
      <w:r w:rsidR="00F00AD5">
        <w:rPr>
          <w:lang w:val="en-US"/>
        </w:rPr>
        <w:t xml:space="preserve">qualified </w:t>
      </w:r>
      <w:r>
        <w:rPr>
          <w:lang w:val="en-US"/>
        </w:rPr>
        <w:t xml:space="preserve">money market fund has received the agreement of the Belgian regulator. Investment firms would prefer investment in </w:t>
      </w:r>
      <w:r w:rsidR="00F00AD5">
        <w:rPr>
          <w:lang w:val="en-US"/>
        </w:rPr>
        <w:t>short term Treasury</w:t>
      </w:r>
      <w:r>
        <w:rPr>
          <w:lang w:val="en-US"/>
        </w:rPr>
        <w:t xml:space="preserve"> bills or assimilated.</w:t>
      </w:r>
    </w:p>
    <w:sectPr w:rsidR="00296CAC" w:rsidRPr="00130B7E" w:rsidSect="00AB4D74">
      <w:headerReference w:type="default" r:id="rId7"/>
      <w:footerReference w:type="default" r:id="rId8"/>
      <w:headerReference w:type="first" r:id="rId9"/>
      <w:footerReference w:type="first" r:id="rId10"/>
      <w:pgSz w:w="11907" w:h="16840" w:code="9"/>
      <w:pgMar w:top="1701" w:right="1531" w:bottom="1701" w:left="1531" w:header="851"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090" w:rsidRDefault="00716090">
      <w:pPr>
        <w:spacing w:after="0"/>
      </w:pPr>
      <w:r>
        <w:separator/>
      </w:r>
    </w:p>
  </w:endnote>
  <w:endnote w:type="continuationSeparator" w:id="1">
    <w:p w:rsidR="00716090" w:rsidRDefault="007160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90" w:rsidRPr="006D42E1" w:rsidRDefault="00716090" w:rsidP="00B63EE1">
    <w:pPr>
      <w:pStyle w:val="Footer"/>
      <w:spacing w:after="0"/>
      <w:ind w:right="-936"/>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90" w:rsidRPr="00D46A75" w:rsidRDefault="00716090" w:rsidP="00487D97">
    <w:pPr>
      <w:pStyle w:val="DataFebelfin"/>
      <w:rPr>
        <w:lang w:val="nl-BE"/>
      </w:rPr>
    </w:pPr>
    <w:r w:rsidRPr="00D46A75">
      <w:rPr>
        <w:lang w:val="nl-BE"/>
      </w:rPr>
      <w:t>Belgische Federatie van de financiële sector</w:t>
    </w:r>
    <w:r w:rsidRPr="00D46A75">
      <w:rPr>
        <w:color w:val="98A9B9"/>
        <w:lang w:val="nl-BE"/>
      </w:rPr>
      <w:t xml:space="preserve"> </w:t>
    </w:r>
    <w:r w:rsidRPr="00D46A75">
      <w:rPr>
        <w:color w:val="980232"/>
        <w:lang w:val="nl-BE"/>
      </w:rPr>
      <w:t>|</w:t>
    </w:r>
    <w:r w:rsidRPr="00D46A75">
      <w:rPr>
        <w:color w:val="98A9B9"/>
        <w:lang w:val="nl-BE"/>
      </w:rPr>
      <w:t xml:space="preserve"> </w:t>
    </w:r>
    <w:proofErr w:type="spellStart"/>
    <w:r w:rsidRPr="00D46A75">
      <w:rPr>
        <w:lang w:val="nl-BE"/>
      </w:rPr>
      <w:t>Aarlenstraat</w:t>
    </w:r>
    <w:proofErr w:type="spellEnd"/>
    <w:r w:rsidRPr="00D46A75">
      <w:rPr>
        <w:lang w:val="nl-BE"/>
      </w:rPr>
      <w:t xml:space="preserve"> 82 • B-1040 Brussel</w:t>
    </w:r>
    <w:r w:rsidRPr="00D46A75">
      <w:rPr>
        <w:color w:val="980232"/>
        <w:lang w:val="nl-BE"/>
      </w:rPr>
      <w:t xml:space="preserve"> |</w:t>
    </w:r>
    <w:r w:rsidRPr="00D46A75">
      <w:rPr>
        <w:color w:val="98A9B9"/>
        <w:lang w:val="nl-BE"/>
      </w:rPr>
      <w:t xml:space="preserve"> </w:t>
    </w:r>
    <w:r w:rsidRPr="00D46A75">
      <w:rPr>
        <w:lang w:val="nl-BE"/>
      </w:rPr>
      <w:t>http://www.febelfin.be</w:t>
    </w:r>
    <w:r w:rsidRPr="00D46A75">
      <w:rPr>
        <w:lang w:val="nl-BE"/>
      </w:rPr>
      <w:br/>
      <w:t>T +32 2 507 68 11</w:t>
    </w:r>
    <w:r w:rsidRPr="00D46A75">
      <w:rPr>
        <w:color w:val="98A9B9"/>
        <w:lang w:val="nl-BE"/>
      </w:rPr>
      <w:t xml:space="preserve"> </w:t>
    </w:r>
    <w:r w:rsidRPr="00D46A75">
      <w:rPr>
        <w:color w:val="980232"/>
        <w:lang w:val="nl-BE"/>
      </w:rPr>
      <w:t>|</w:t>
    </w:r>
    <w:r w:rsidRPr="00D46A75">
      <w:rPr>
        <w:color w:val="98A9B9"/>
        <w:lang w:val="nl-BE"/>
      </w:rPr>
      <w:t xml:space="preserve"> </w:t>
    </w:r>
    <w:r w:rsidRPr="00D46A75">
      <w:rPr>
        <w:lang w:val="nl-BE"/>
      </w:rPr>
      <w:t>F +32 2 888 68 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090" w:rsidRDefault="00716090">
      <w:pPr>
        <w:spacing w:after="0"/>
      </w:pPr>
      <w:r>
        <w:separator/>
      </w:r>
    </w:p>
  </w:footnote>
  <w:footnote w:type="continuationSeparator" w:id="1">
    <w:p w:rsidR="00716090" w:rsidRDefault="007160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90" w:rsidRPr="007351A7" w:rsidRDefault="00716090" w:rsidP="00EC7E6B">
    <w:pPr>
      <w:pStyle w:val="Footer"/>
      <w:tabs>
        <w:tab w:val="clear" w:pos="8640"/>
        <w:tab w:val="right" w:pos="8789"/>
        <w:tab w:val="right" w:pos="9639"/>
      </w:tabs>
      <w:spacing w:after="480" w:line="240" w:lineRule="auto"/>
      <w:ind w:right="-936"/>
      <w:rPr>
        <w:color w:val="4C5E6A"/>
      </w:rPr>
    </w:pPr>
    <w:r>
      <w:rPr>
        <w:noProof/>
        <w:lang w:val="en-US"/>
      </w:rPr>
      <w:drawing>
        <wp:inline distT="0" distB="0" distL="0" distR="0">
          <wp:extent cx="982345" cy="361950"/>
          <wp:effectExtent l="19050" t="0" r="8255" b="0"/>
          <wp:docPr id="5" name="Picture 2" descr="Febelfin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belfin_logo_2008"/>
                  <pic:cNvPicPr>
                    <a:picLocks noChangeAspect="1" noChangeArrowheads="1"/>
                  </pic:cNvPicPr>
                </pic:nvPicPr>
                <pic:blipFill>
                  <a:blip r:embed="rId1"/>
                  <a:srcRect/>
                  <a:stretch>
                    <a:fillRect/>
                  </a:stretch>
                </pic:blipFill>
                <pic:spPr bwMode="auto">
                  <a:xfrm>
                    <a:off x="0" y="0"/>
                    <a:ext cx="982345" cy="361950"/>
                  </a:xfrm>
                  <a:prstGeom prst="rect">
                    <a:avLst/>
                  </a:prstGeom>
                  <a:noFill/>
                  <a:ln w="9525">
                    <a:noFill/>
                    <a:miter lim="800000"/>
                    <a:headEnd/>
                    <a:tailEnd/>
                  </a:ln>
                </pic:spPr>
              </pic:pic>
            </a:graphicData>
          </a:graphic>
        </wp:inline>
      </w:drawing>
    </w:r>
    <w:r w:rsidRPr="007351A7">
      <w:rPr>
        <w:rStyle w:val="PageNumber"/>
        <w:rFonts w:ascii="Calibri" w:hAnsi="Calibri"/>
        <w:b/>
        <w:color w:val="4C5E6A"/>
        <w:sz w:val="22"/>
        <w:szCs w:val="22"/>
      </w:rPr>
      <w:tab/>
    </w:r>
    <w:r>
      <w:rPr>
        <w:rStyle w:val="PageNumber"/>
        <w:rFonts w:ascii="Calibri" w:hAnsi="Calibri"/>
        <w:b/>
        <w:color w:val="4C5E6A"/>
        <w:sz w:val="22"/>
        <w:szCs w:val="22"/>
      </w:rPr>
      <w:tab/>
    </w:r>
    <w:r>
      <w:tab/>
    </w:r>
    <w:r w:rsidR="00CE082A" w:rsidRPr="007351A7">
      <w:rPr>
        <w:rStyle w:val="PageNumber"/>
        <w:rFonts w:ascii="Calibri" w:hAnsi="Calibri"/>
        <w:b/>
        <w:color w:val="4C5E6A"/>
        <w:position w:val="20"/>
        <w:sz w:val="22"/>
        <w:szCs w:val="22"/>
      </w:rPr>
      <w:fldChar w:fldCharType="begin"/>
    </w:r>
    <w:r w:rsidRPr="007351A7">
      <w:rPr>
        <w:rStyle w:val="PageNumber"/>
        <w:rFonts w:ascii="Calibri" w:hAnsi="Calibri"/>
        <w:b/>
        <w:color w:val="4C5E6A"/>
        <w:position w:val="20"/>
        <w:sz w:val="22"/>
        <w:szCs w:val="22"/>
      </w:rPr>
      <w:instrText xml:space="preserve"> PAGE </w:instrText>
    </w:r>
    <w:r w:rsidR="00CE082A" w:rsidRPr="007351A7">
      <w:rPr>
        <w:rStyle w:val="PageNumber"/>
        <w:rFonts w:ascii="Calibri" w:hAnsi="Calibri"/>
        <w:b/>
        <w:color w:val="4C5E6A"/>
        <w:position w:val="20"/>
        <w:sz w:val="22"/>
        <w:szCs w:val="22"/>
      </w:rPr>
      <w:fldChar w:fldCharType="separate"/>
    </w:r>
    <w:r w:rsidR="00316EFE">
      <w:rPr>
        <w:rStyle w:val="PageNumber"/>
        <w:rFonts w:ascii="Calibri" w:hAnsi="Calibri"/>
        <w:b/>
        <w:noProof/>
        <w:color w:val="4C5E6A"/>
        <w:position w:val="20"/>
        <w:sz w:val="22"/>
        <w:szCs w:val="22"/>
      </w:rPr>
      <w:t>3</w:t>
    </w:r>
    <w:r w:rsidR="00CE082A" w:rsidRPr="007351A7">
      <w:rPr>
        <w:rStyle w:val="PageNumber"/>
        <w:rFonts w:ascii="Calibri" w:hAnsi="Calibri"/>
        <w:b/>
        <w:color w:val="4C5E6A"/>
        <w:position w:val="20"/>
        <w:sz w:val="22"/>
        <w:szCs w:val="22"/>
      </w:rPr>
      <w:fldChar w:fldCharType="end"/>
    </w:r>
    <w:r w:rsidR="00CE082A" w:rsidRPr="00CE082A">
      <w:rPr>
        <w:noProof/>
        <w:color w:val="4C5E6A"/>
        <w:lang w:val="fr-FR"/>
      </w:rPr>
      <w:pict>
        <v:line id="_x0000_s2049" style="position:absolute;z-index:251655680;mso-position-horizontal-relative:page;mso-position-vertical-relative:page" from="541.5pt,0" to="541.5pt,842pt" strokecolor="#980232">
          <w10:wrap anchorx="page"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090" w:rsidRDefault="00CE082A" w:rsidP="003413E3">
    <w:pPr>
      <w:pStyle w:val="Header"/>
      <w:tabs>
        <w:tab w:val="clear" w:pos="4320"/>
        <w:tab w:val="clear" w:pos="8640"/>
        <w:tab w:val="left" w:pos="5287"/>
        <w:tab w:val="left" w:pos="5900"/>
      </w:tabs>
    </w:pPr>
    <w:r w:rsidRPr="00CE082A">
      <w:rPr>
        <w:noProof/>
        <w:color w:val="98A9B9"/>
        <w:sz w:val="16"/>
        <w:szCs w:val="16"/>
        <w:lang w:val="fr-FR"/>
      </w:rPr>
      <w:pict>
        <v:shapetype id="_x0000_t202" coordsize="21600,21600" o:spt="202" path="m,l,21600r21600,l21600,xe">
          <v:stroke joinstyle="miter"/>
          <v:path gradientshapeok="t" o:connecttype="rect"/>
        </v:shapetype>
        <v:shape id="_x0000_s2052" type="#_x0000_t202" style="position:absolute;left:0;text-align:left;margin-left:190.3pt;margin-top:17.1pt;width:252pt;height:52.95pt;z-index:251659776" filled="f" stroked="f">
          <v:textbox style="mso-next-textbox:#_x0000_s2052" inset="0,0,0,0">
            <w:txbxContent>
              <w:p w:rsidR="00716090" w:rsidRDefault="00716090" w:rsidP="003E364E">
                <w:pPr>
                  <w:pStyle w:val="Type"/>
                </w:pPr>
              </w:p>
              <w:p w:rsidR="00716090" w:rsidRPr="009D0654" w:rsidRDefault="00CE082A" w:rsidP="00441562">
                <w:pPr>
                  <w:pStyle w:val="Metadata"/>
                  <w:spacing w:line="240" w:lineRule="auto"/>
                  <w:rPr>
                    <w:lang w:val="en-US"/>
                  </w:rPr>
                </w:pPr>
                <w:fldSimple w:instr=" FILENAME   \* MERGEFORMAT ">
                  <w:r w:rsidR="00716090" w:rsidRPr="00A466EC">
                    <w:rPr>
                      <w:noProof/>
                      <w:lang w:val="en-US"/>
                    </w:rPr>
                    <w:t>ICSDcallforevidence</w:t>
                  </w:r>
                  <w:r w:rsidR="00716090">
                    <w:rPr>
                      <w:noProof/>
                    </w:rPr>
                    <w:t>.docx</w:t>
                  </w:r>
                </w:fldSimple>
                <w:r w:rsidR="00716090" w:rsidRPr="00CF3926">
                  <w:rPr>
                    <w:color w:val="C00000"/>
                    <w:lang w:val="en-US"/>
                  </w:rPr>
                  <w:t xml:space="preserve"> | </w:t>
                </w:r>
                <w:r w:rsidR="00716090" w:rsidRPr="00CF3926">
                  <w:rPr>
                    <w:lang w:val="en-US"/>
                  </w:rPr>
                  <w:t>version</w:t>
                </w:r>
                <w:r w:rsidR="00716090" w:rsidRPr="00CF3926">
                  <w:rPr>
                    <w:color w:val="C00000"/>
                    <w:lang w:val="en-US"/>
                  </w:rPr>
                  <w:t xml:space="preserve"> | </w:t>
                </w:r>
                <w:fldSimple w:instr=" AUTHOR   \* MERGEFORMAT ">
                  <w:r w:rsidR="00716090" w:rsidRPr="00A466EC">
                    <w:rPr>
                      <w:noProof/>
                      <w:lang w:val="en-US"/>
                    </w:rPr>
                    <w:t>DC</w:t>
                  </w:r>
                </w:fldSimple>
                <w:r w:rsidR="00716090" w:rsidRPr="00CF3926">
                  <w:rPr>
                    <w:color w:val="C00000"/>
                    <w:lang w:val="en-US"/>
                  </w:rPr>
                  <w:t xml:space="preserve"> | </w:t>
                </w:r>
                <w:fldSimple w:instr=" DATE   \* MERGEFORMAT ">
                  <w:r w:rsidR="00316EFE" w:rsidRPr="00316EFE">
                    <w:rPr>
                      <w:noProof/>
                      <w:lang w:val="en-US"/>
                    </w:rPr>
                    <w:t>07/04/2009</w:t>
                  </w:r>
                </w:fldSimple>
              </w:p>
              <w:p w:rsidR="00716090" w:rsidRPr="003413E3" w:rsidRDefault="00716090" w:rsidP="00441562">
                <w:pPr>
                  <w:pStyle w:val="Metadata"/>
                  <w:spacing w:line="240" w:lineRule="auto"/>
                </w:pPr>
              </w:p>
            </w:txbxContent>
          </v:textbox>
        </v:shape>
      </w:pict>
    </w:r>
    <w:r w:rsidR="00716090" w:rsidRPr="00347E20">
      <w:rPr>
        <w:noProof/>
        <w:lang w:val="en-US"/>
      </w:rPr>
      <w:drawing>
        <wp:inline distT="0" distB="0" distL="0" distR="0">
          <wp:extent cx="1760855" cy="648335"/>
          <wp:effectExtent l="19050" t="0" r="0" b="0"/>
          <wp:docPr id="33" name="Picture 4" descr="Febelfin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belfin_logo_2008"/>
                  <pic:cNvPicPr>
                    <a:picLocks noChangeAspect="1" noChangeArrowheads="1"/>
                  </pic:cNvPicPr>
                </pic:nvPicPr>
                <pic:blipFill>
                  <a:blip r:embed="rId1"/>
                  <a:srcRect/>
                  <a:stretch>
                    <a:fillRect/>
                  </a:stretch>
                </pic:blipFill>
                <pic:spPr bwMode="auto">
                  <a:xfrm>
                    <a:off x="0" y="0"/>
                    <a:ext cx="1760855" cy="648335"/>
                  </a:xfrm>
                  <a:prstGeom prst="rect">
                    <a:avLst/>
                  </a:prstGeom>
                  <a:noFill/>
                  <a:ln w="9525">
                    <a:noFill/>
                    <a:miter lim="800000"/>
                    <a:headEnd/>
                    <a:tailEnd/>
                  </a:ln>
                </pic:spPr>
              </pic:pic>
            </a:graphicData>
          </a:graphic>
        </wp:inline>
      </w:drawing>
    </w:r>
  </w:p>
  <w:p w:rsidR="00716090" w:rsidRPr="00971345" w:rsidRDefault="00CE082A">
    <w:pPr>
      <w:pStyle w:val="Header"/>
      <w:rPr>
        <w:color w:val="98A9B9"/>
        <w:sz w:val="16"/>
        <w:szCs w:val="16"/>
      </w:rPr>
    </w:pPr>
    <w:r w:rsidRPr="00CE082A">
      <w:rPr>
        <w:noProof/>
        <w:color w:val="98A9B9"/>
        <w:sz w:val="16"/>
        <w:szCs w:val="16"/>
        <w:lang w:val="fr-FR"/>
      </w:rPr>
      <w:pict>
        <v:rect id="_x0000_s2051" style="position:absolute;left:0;text-align:left;margin-left:532.1pt;margin-top:104.9pt;width:9.35pt;height:102.05pt;z-index:251657728;mso-position-horizontal-relative:page;mso-position-vertical-relative:page" fillcolor="#980232" strokecolor="#980232">
          <w10:wrap anchorx="page" anchory="page"/>
        </v:rect>
      </w:pict>
    </w:r>
    <w:r w:rsidRPr="00CE082A">
      <w:rPr>
        <w:noProof/>
        <w:color w:val="98A9B9"/>
        <w:sz w:val="16"/>
        <w:szCs w:val="16"/>
        <w:lang w:val="fr-FR"/>
      </w:rPr>
      <w:pict>
        <v:line id="_x0000_s2050" style="position:absolute;left:0;text-align:left;z-index:251656704;mso-position-horizontal-relative:page;mso-position-vertical-relative:page" from="541.5pt,0" to="541.5pt,842pt" strokecolor="#980232">
          <w10:wrap anchorx="page"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74A7"/>
      </v:shape>
    </w:pict>
  </w:numPicBullet>
  <w:abstractNum w:abstractNumId="0">
    <w:nsid w:val="FFFFFF7C"/>
    <w:multiLevelType w:val="singleLevel"/>
    <w:tmpl w:val="4B404594"/>
    <w:lvl w:ilvl="0">
      <w:start w:val="1"/>
      <w:numFmt w:val="decimal"/>
      <w:lvlText w:val="%1."/>
      <w:lvlJc w:val="left"/>
      <w:pPr>
        <w:tabs>
          <w:tab w:val="num" w:pos="1492"/>
        </w:tabs>
        <w:ind w:left="1492" w:hanging="360"/>
      </w:pPr>
    </w:lvl>
  </w:abstractNum>
  <w:abstractNum w:abstractNumId="1">
    <w:nsid w:val="FFFFFF7D"/>
    <w:multiLevelType w:val="singleLevel"/>
    <w:tmpl w:val="FD4AC8BA"/>
    <w:lvl w:ilvl="0">
      <w:start w:val="1"/>
      <w:numFmt w:val="decimal"/>
      <w:lvlText w:val="%1."/>
      <w:lvlJc w:val="left"/>
      <w:pPr>
        <w:tabs>
          <w:tab w:val="num" w:pos="1209"/>
        </w:tabs>
        <w:ind w:left="1209" w:hanging="360"/>
      </w:pPr>
    </w:lvl>
  </w:abstractNum>
  <w:abstractNum w:abstractNumId="2">
    <w:nsid w:val="FFFFFF7E"/>
    <w:multiLevelType w:val="singleLevel"/>
    <w:tmpl w:val="B63EDB92"/>
    <w:lvl w:ilvl="0">
      <w:start w:val="1"/>
      <w:numFmt w:val="decimal"/>
      <w:lvlText w:val="%1."/>
      <w:lvlJc w:val="left"/>
      <w:pPr>
        <w:tabs>
          <w:tab w:val="num" w:pos="926"/>
        </w:tabs>
        <w:ind w:left="926" w:hanging="360"/>
      </w:pPr>
    </w:lvl>
  </w:abstractNum>
  <w:abstractNum w:abstractNumId="3">
    <w:nsid w:val="FFFFFF7F"/>
    <w:multiLevelType w:val="singleLevel"/>
    <w:tmpl w:val="6CE61ADC"/>
    <w:lvl w:ilvl="0">
      <w:start w:val="1"/>
      <w:numFmt w:val="decimal"/>
      <w:lvlText w:val="%1."/>
      <w:lvlJc w:val="left"/>
      <w:pPr>
        <w:tabs>
          <w:tab w:val="num" w:pos="643"/>
        </w:tabs>
        <w:ind w:left="643" w:hanging="360"/>
      </w:pPr>
    </w:lvl>
  </w:abstractNum>
  <w:abstractNum w:abstractNumId="4">
    <w:nsid w:val="FFFFFF80"/>
    <w:multiLevelType w:val="singleLevel"/>
    <w:tmpl w:val="F72027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3263B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C410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E808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6C09B6"/>
    <w:lvl w:ilvl="0">
      <w:start w:val="1"/>
      <w:numFmt w:val="decimal"/>
      <w:lvlText w:val="%1."/>
      <w:lvlJc w:val="left"/>
      <w:pPr>
        <w:tabs>
          <w:tab w:val="num" w:pos="360"/>
        </w:tabs>
        <w:ind w:left="360" w:hanging="360"/>
      </w:pPr>
    </w:lvl>
  </w:abstractNum>
  <w:abstractNum w:abstractNumId="9">
    <w:nsid w:val="FFFFFF89"/>
    <w:multiLevelType w:val="singleLevel"/>
    <w:tmpl w:val="883CF928"/>
    <w:lvl w:ilvl="0">
      <w:start w:val="1"/>
      <w:numFmt w:val="bullet"/>
      <w:lvlText w:val=""/>
      <w:lvlJc w:val="left"/>
      <w:pPr>
        <w:tabs>
          <w:tab w:val="num" w:pos="360"/>
        </w:tabs>
        <w:ind w:left="360" w:hanging="360"/>
      </w:pPr>
      <w:rPr>
        <w:rFonts w:ascii="Symbol" w:hAnsi="Symbol" w:hint="default"/>
      </w:rPr>
    </w:lvl>
  </w:abstractNum>
  <w:abstractNum w:abstractNumId="10">
    <w:nsid w:val="02F77BC0"/>
    <w:multiLevelType w:val="hybridMultilevel"/>
    <w:tmpl w:val="019E4F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54C68C9"/>
    <w:multiLevelType w:val="hybridMultilevel"/>
    <w:tmpl w:val="36C824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9E128F"/>
    <w:multiLevelType w:val="hybridMultilevel"/>
    <w:tmpl w:val="7BB2B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C941DF"/>
    <w:multiLevelType w:val="hybridMultilevel"/>
    <w:tmpl w:val="830CE4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202D29"/>
    <w:multiLevelType w:val="hybridMultilevel"/>
    <w:tmpl w:val="91D2AEB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7E3309"/>
    <w:multiLevelType w:val="multilevel"/>
    <w:tmpl w:val="5972D40C"/>
    <w:styleLink w:val="StyleBulleted"/>
    <w:lvl w:ilvl="0">
      <w:start w:val="1"/>
      <w:numFmt w:val="bullet"/>
      <w:lvlText w:val="-"/>
      <w:lvlJc w:val="left"/>
      <w:pPr>
        <w:tabs>
          <w:tab w:val="num" w:pos="284"/>
        </w:tabs>
        <w:ind w:left="284" w:hanging="284"/>
      </w:pPr>
      <w:rPr>
        <w:rFonts w:ascii="Arial" w:hAnsi="Arial"/>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B32313A"/>
    <w:multiLevelType w:val="hybridMultilevel"/>
    <w:tmpl w:val="8118014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3870F1"/>
    <w:multiLevelType w:val="hybridMultilevel"/>
    <w:tmpl w:val="038C7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C5D5332"/>
    <w:multiLevelType w:val="hybridMultilevel"/>
    <w:tmpl w:val="C58C1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6A350E"/>
    <w:multiLevelType w:val="hybridMultilevel"/>
    <w:tmpl w:val="15465D5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337FB0"/>
    <w:multiLevelType w:val="hybridMultilevel"/>
    <w:tmpl w:val="A4361D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2E220A"/>
    <w:multiLevelType w:val="hybridMultilevel"/>
    <w:tmpl w:val="25EC55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687A78"/>
    <w:multiLevelType w:val="hybridMultilevel"/>
    <w:tmpl w:val="1DCC70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A853D8"/>
    <w:multiLevelType w:val="hybridMultilevel"/>
    <w:tmpl w:val="7EB459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E25D69"/>
    <w:multiLevelType w:val="hybridMultilevel"/>
    <w:tmpl w:val="935824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num>
  <w:num w:numId="13">
    <w:abstractNumId w:val="12"/>
  </w:num>
  <w:num w:numId="14">
    <w:abstractNumId w:val="17"/>
  </w:num>
  <w:num w:numId="15">
    <w:abstractNumId w:val="10"/>
  </w:num>
  <w:num w:numId="16">
    <w:abstractNumId w:val="23"/>
  </w:num>
  <w:num w:numId="17">
    <w:abstractNumId w:val="22"/>
  </w:num>
  <w:num w:numId="18">
    <w:abstractNumId w:val="16"/>
  </w:num>
  <w:num w:numId="19">
    <w:abstractNumId w:val="24"/>
  </w:num>
  <w:num w:numId="20">
    <w:abstractNumId w:val="11"/>
  </w:num>
  <w:num w:numId="21">
    <w:abstractNumId w:val="14"/>
  </w:num>
  <w:num w:numId="22">
    <w:abstractNumId w:val="19"/>
  </w:num>
  <w:num w:numId="23">
    <w:abstractNumId w:val="21"/>
  </w:num>
  <w:num w:numId="24">
    <w:abstractNumId w:val="13"/>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3F08"/>
  <w:stylePaneSortMethod w:val="0004"/>
  <w:defaultTabStop w:val="720"/>
  <w:noPunctuationKerning/>
  <w:characterSpacingControl w:val="doNotCompress"/>
  <w:savePreviewPicture/>
  <w:hdrShapeDefaults>
    <o:shapedefaults v:ext="edit" spidmax="2054">
      <o:colormru v:ext="edit" colors="#980232"/>
    </o:shapedefaults>
    <o:shapelayout v:ext="edit">
      <o:idmap v:ext="edit" data="2"/>
    </o:shapelayout>
  </w:hdrShapeDefaults>
  <w:footnotePr>
    <w:footnote w:id="0"/>
    <w:footnote w:id="1"/>
  </w:footnotePr>
  <w:endnotePr>
    <w:endnote w:id="0"/>
    <w:endnote w:id="1"/>
  </w:endnotePr>
  <w:compat/>
  <w:rsids>
    <w:rsidRoot w:val="000F34DF"/>
    <w:rsid w:val="00010CCC"/>
    <w:rsid w:val="000260BD"/>
    <w:rsid w:val="0003271B"/>
    <w:rsid w:val="00037FC7"/>
    <w:rsid w:val="000452E1"/>
    <w:rsid w:val="00055212"/>
    <w:rsid w:val="00057E2E"/>
    <w:rsid w:val="000708A1"/>
    <w:rsid w:val="00073FAD"/>
    <w:rsid w:val="00075F85"/>
    <w:rsid w:val="00080AB6"/>
    <w:rsid w:val="00096D1F"/>
    <w:rsid w:val="000974CF"/>
    <w:rsid w:val="000B242B"/>
    <w:rsid w:val="000C490D"/>
    <w:rsid w:val="000E734D"/>
    <w:rsid w:val="000F34DF"/>
    <w:rsid w:val="0011382D"/>
    <w:rsid w:val="00122189"/>
    <w:rsid w:val="0012651E"/>
    <w:rsid w:val="00130B7E"/>
    <w:rsid w:val="00131BA7"/>
    <w:rsid w:val="00132804"/>
    <w:rsid w:val="00134391"/>
    <w:rsid w:val="00136CCB"/>
    <w:rsid w:val="00152A55"/>
    <w:rsid w:val="001568B6"/>
    <w:rsid w:val="00171848"/>
    <w:rsid w:val="00174F87"/>
    <w:rsid w:val="001951E2"/>
    <w:rsid w:val="001A24BB"/>
    <w:rsid w:val="001A5CC2"/>
    <w:rsid w:val="001B2A17"/>
    <w:rsid w:val="001B7229"/>
    <w:rsid w:val="001C7A57"/>
    <w:rsid w:val="001D20FA"/>
    <w:rsid w:val="001D2DAD"/>
    <w:rsid w:val="001E7E23"/>
    <w:rsid w:val="00220976"/>
    <w:rsid w:val="002224ED"/>
    <w:rsid w:val="002254E5"/>
    <w:rsid w:val="002468C2"/>
    <w:rsid w:val="00273719"/>
    <w:rsid w:val="002763C4"/>
    <w:rsid w:val="00296CAC"/>
    <w:rsid w:val="002A6D4D"/>
    <w:rsid w:val="002B0CBE"/>
    <w:rsid w:val="002B1BD4"/>
    <w:rsid w:val="002B29C6"/>
    <w:rsid w:val="002F0BE6"/>
    <w:rsid w:val="002F4930"/>
    <w:rsid w:val="002F4F51"/>
    <w:rsid w:val="0030339F"/>
    <w:rsid w:val="003066DA"/>
    <w:rsid w:val="003156BE"/>
    <w:rsid w:val="00316EFE"/>
    <w:rsid w:val="00336E9E"/>
    <w:rsid w:val="003413E3"/>
    <w:rsid w:val="00347E20"/>
    <w:rsid w:val="00365F01"/>
    <w:rsid w:val="00384A8F"/>
    <w:rsid w:val="003917A3"/>
    <w:rsid w:val="003C4969"/>
    <w:rsid w:val="003D2E8E"/>
    <w:rsid w:val="003E364E"/>
    <w:rsid w:val="00411137"/>
    <w:rsid w:val="004308BB"/>
    <w:rsid w:val="00441562"/>
    <w:rsid w:val="00450BD3"/>
    <w:rsid w:val="00477F94"/>
    <w:rsid w:val="00483A6D"/>
    <w:rsid w:val="00487D97"/>
    <w:rsid w:val="004904E8"/>
    <w:rsid w:val="004A1FA1"/>
    <w:rsid w:val="0050702C"/>
    <w:rsid w:val="00511183"/>
    <w:rsid w:val="005117C0"/>
    <w:rsid w:val="00520336"/>
    <w:rsid w:val="00531F13"/>
    <w:rsid w:val="005403EA"/>
    <w:rsid w:val="00557366"/>
    <w:rsid w:val="00564043"/>
    <w:rsid w:val="005764BB"/>
    <w:rsid w:val="00586064"/>
    <w:rsid w:val="00591712"/>
    <w:rsid w:val="00597F51"/>
    <w:rsid w:val="005A23E9"/>
    <w:rsid w:val="005A2659"/>
    <w:rsid w:val="005C293F"/>
    <w:rsid w:val="005D348C"/>
    <w:rsid w:val="00607609"/>
    <w:rsid w:val="00615546"/>
    <w:rsid w:val="00632A19"/>
    <w:rsid w:val="00644631"/>
    <w:rsid w:val="00654624"/>
    <w:rsid w:val="00660552"/>
    <w:rsid w:val="0066136A"/>
    <w:rsid w:val="00662447"/>
    <w:rsid w:val="00697B37"/>
    <w:rsid w:val="006A48F5"/>
    <w:rsid w:val="006C007D"/>
    <w:rsid w:val="006D42E1"/>
    <w:rsid w:val="006E35F7"/>
    <w:rsid w:val="006F3456"/>
    <w:rsid w:val="00716060"/>
    <w:rsid w:val="00716090"/>
    <w:rsid w:val="00730206"/>
    <w:rsid w:val="007351A7"/>
    <w:rsid w:val="00740CB1"/>
    <w:rsid w:val="00742D79"/>
    <w:rsid w:val="0074543E"/>
    <w:rsid w:val="00756230"/>
    <w:rsid w:val="00793A25"/>
    <w:rsid w:val="0079423F"/>
    <w:rsid w:val="007B2B36"/>
    <w:rsid w:val="007C0A85"/>
    <w:rsid w:val="007C17BD"/>
    <w:rsid w:val="007C2076"/>
    <w:rsid w:val="007E3209"/>
    <w:rsid w:val="007F2869"/>
    <w:rsid w:val="007F5D9E"/>
    <w:rsid w:val="007F6D9C"/>
    <w:rsid w:val="00802A07"/>
    <w:rsid w:val="008030A1"/>
    <w:rsid w:val="00811C27"/>
    <w:rsid w:val="00844858"/>
    <w:rsid w:val="008546E0"/>
    <w:rsid w:val="008802AB"/>
    <w:rsid w:val="00894A74"/>
    <w:rsid w:val="008A0C7F"/>
    <w:rsid w:val="008B7758"/>
    <w:rsid w:val="008C1E6A"/>
    <w:rsid w:val="008E1E12"/>
    <w:rsid w:val="008E39C4"/>
    <w:rsid w:val="00901D44"/>
    <w:rsid w:val="00902803"/>
    <w:rsid w:val="009214D9"/>
    <w:rsid w:val="00962429"/>
    <w:rsid w:val="00971345"/>
    <w:rsid w:val="00973BCF"/>
    <w:rsid w:val="0099501A"/>
    <w:rsid w:val="009D0713"/>
    <w:rsid w:val="009D078F"/>
    <w:rsid w:val="009D2EBC"/>
    <w:rsid w:val="009D49A5"/>
    <w:rsid w:val="009D75EB"/>
    <w:rsid w:val="009D7C03"/>
    <w:rsid w:val="009E3BEA"/>
    <w:rsid w:val="009E4E85"/>
    <w:rsid w:val="009E6974"/>
    <w:rsid w:val="00A21529"/>
    <w:rsid w:val="00A466EC"/>
    <w:rsid w:val="00A623B0"/>
    <w:rsid w:val="00A74D95"/>
    <w:rsid w:val="00A806CF"/>
    <w:rsid w:val="00A86C37"/>
    <w:rsid w:val="00A9079E"/>
    <w:rsid w:val="00A937D5"/>
    <w:rsid w:val="00AB4D74"/>
    <w:rsid w:val="00AD39AE"/>
    <w:rsid w:val="00AE356D"/>
    <w:rsid w:val="00B123CD"/>
    <w:rsid w:val="00B246B1"/>
    <w:rsid w:val="00B33253"/>
    <w:rsid w:val="00B33DD6"/>
    <w:rsid w:val="00B404FB"/>
    <w:rsid w:val="00B452CC"/>
    <w:rsid w:val="00B46F6F"/>
    <w:rsid w:val="00B60519"/>
    <w:rsid w:val="00B63EE1"/>
    <w:rsid w:val="00BC3856"/>
    <w:rsid w:val="00BD77F3"/>
    <w:rsid w:val="00BD7ADD"/>
    <w:rsid w:val="00BE153D"/>
    <w:rsid w:val="00C32657"/>
    <w:rsid w:val="00C34C85"/>
    <w:rsid w:val="00C71027"/>
    <w:rsid w:val="00C82604"/>
    <w:rsid w:val="00C83E9A"/>
    <w:rsid w:val="00C87C9D"/>
    <w:rsid w:val="00C931E6"/>
    <w:rsid w:val="00CA24B3"/>
    <w:rsid w:val="00CC101C"/>
    <w:rsid w:val="00CD3ACD"/>
    <w:rsid w:val="00CE082A"/>
    <w:rsid w:val="00CF0F7B"/>
    <w:rsid w:val="00CF1DB5"/>
    <w:rsid w:val="00D1745B"/>
    <w:rsid w:val="00D277E7"/>
    <w:rsid w:val="00D27950"/>
    <w:rsid w:val="00D32850"/>
    <w:rsid w:val="00D35AF9"/>
    <w:rsid w:val="00D46A75"/>
    <w:rsid w:val="00D57133"/>
    <w:rsid w:val="00D57A2C"/>
    <w:rsid w:val="00D81AF2"/>
    <w:rsid w:val="00D81D9A"/>
    <w:rsid w:val="00D835CA"/>
    <w:rsid w:val="00D92439"/>
    <w:rsid w:val="00DB0705"/>
    <w:rsid w:val="00DB37DC"/>
    <w:rsid w:val="00DC51FE"/>
    <w:rsid w:val="00E03157"/>
    <w:rsid w:val="00E120F7"/>
    <w:rsid w:val="00E13810"/>
    <w:rsid w:val="00E22059"/>
    <w:rsid w:val="00E442C6"/>
    <w:rsid w:val="00E53020"/>
    <w:rsid w:val="00EB789E"/>
    <w:rsid w:val="00EC7E6B"/>
    <w:rsid w:val="00EE24DA"/>
    <w:rsid w:val="00EE3493"/>
    <w:rsid w:val="00EE6411"/>
    <w:rsid w:val="00F00AD5"/>
    <w:rsid w:val="00F2776C"/>
    <w:rsid w:val="00F86F25"/>
    <w:rsid w:val="00F90402"/>
    <w:rsid w:val="00FA2F22"/>
    <w:rsid w:val="00FE51F2"/>
    <w:rsid w:val="00FF08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9802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391"/>
    <w:pPr>
      <w:spacing w:after="240" w:line="360" w:lineRule="atLeast"/>
      <w:jc w:val="both"/>
    </w:pPr>
    <w:rPr>
      <w:rFonts w:ascii="Tahoma" w:hAnsi="Tahoma"/>
      <w:szCs w:val="24"/>
      <w:lang w:val="nl-NL"/>
    </w:rPr>
  </w:style>
  <w:style w:type="paragraph" w:styleId="Heading1">
    <w:name w:val="heading 1"/>
    <w:basedOn w:val="Normal"/>
    <w:next w:val="Normal"/>
    <w:link w:val="Heading1Char"/>
    <w:qFormat/>
    <w:rsid w:val="00487D97"/>
    <w:pPr>
      <w:keepNext/>
      <w:spacing w:before="240" w:after="60" w:line="240" w:lineRule="auto"/>
      <w:jc w:val="left"/>
      <w:outlineLvl w:val="0"/>
    </w:pPr>
    <w:rPr>
      <w:rFonts w:cs="Arial"/>
      <w:b/>
      <w:bCs/>
      <w:color w:val="C0504D"/>
      <w:kern w:val="32"/>
      <w:sz w:val="32"/>
      <w:szCs w:val="32"/>
      <w:lang w:val="en-US"/>
    </w:rPr>
  </w:style>
  <w:style w:type="paragraph" w:styleId="Heading2">
    <w:name w:val="heading 2"/>
    <w:basedOn w:val="Normal"/>
    <w:next w:val="Normal"/>
    <w:link w:val="Heading2Char"/>
    <w:uiPriority w:val="9"/>
    <w:unhideWhenUsed/>
    <w:qFormat/>
    <w:rsid w:val="00487D97"/>
    <w:pPr>
      <w:keepNext/>
      <w:spacing w:before="240" w:after="60" w:line="240" w:lineRule="auto"/>
      <w:jc w:val="left"/>
      <w:outlineLvl w:val="1"/>
    </w:pPr>
    <w:rPr>
      <w:b/>
      <w:bCs/>
      <w:iCs/>
      <w:color w:val="C0504D"/>
      <w:sz w:val="28"/>
      <w:szCs w:val="28"/>
    </w:rPr>
  </w:style>
  <w:style w:type="paragraph" w:styleId="Heading3">
    <w:name w:val="heading 3"/>
    <w:basedOn w:val="Normal"/>
    <w:next w:val="Normal"/>
    <w:link w:val="Heading3Char"/>
    <w:uiPriority w:val="9"/>
    <w:unhideWhenUsed/>
    <w:qFormat/>
    <w:rsid w:val="00487D97"/>
    <w:pPr>
      <w:keepNext/>
      <w:spacing w:before="240" w:after="60" w:line="240" w:lineRule="auto"/>
      <w:jc w:val="left"/>
      <w:outlineLvl w:val="2"/>
    </w:pPr>
    <w:rPr>
      <w:b/>
      <w:bCs/>
      <w:sz w:val="26"/>
      <w:szCs w:val="26"/>
    </w:rPr>
  </w:style>
  <w:style w:type="paragraph" w:styleId="Heading4">
    <w:name w:val="heading 4"/>
    <w:basedOn w:val="Normal"/>
    <w:next w:val="Normal"/>
    <w:link w:val="Heading4Char"/>
    <w:uiPriority w:val="9"/>
    <w:unhideWhenUsed/>
    <w:qFormat/>
    <w:rsid w:val="00487D97"/>
    <w:pPr>
      <w:keepNext/>
      <w:spacing w:before="240" w:after="120" w:line="240" w:lineRule="auto"/>
      <w:jc w:val="lef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487D97"/>
    <w:pPr>
      <w:spacing w:after="60" w:line="240" w:lineRule="auto"/>
      <w:jc w:val="left"/>
      <w:outlineLvl w:val="1"/>
    </w:pPr>
    <w:rPr>
      <w:color w:val="98A9B9"/>
      <w:sz w:val="36"/>
      <w:szCs w:val="36"/>
      <w:lang w:val="en-US"/>
    </w:rPr>
  </w:style>
  <w:style w:type="paragraph" w:styleId="FootnoteText">
    <w:name w:val="footnote text"/>
    <w:basedOn w:val="Normal"/>
    <w:semiHidden/>
    <w:rsid w:val="002468C2"/>
    <w:rPr>
      <w:szCs w:val="20"/>
    </w:rPr>
  </w:style>
  <w:style w:type="numbering" w:customStyle="1" w:styleId="StyleBulleted">
    <w:name w:val="Style Bulleted"/>
    <w:basedOn w:val="NoList"/>
    <w:rsid w:val="008030A1"/>
    <w:pPr>
      <w:numPr>
        <w:numId w:val="1"/>
      </w:numPr>
    </w:pPr>
  </w:style>
  <w:style w:type="paragraph" w:styleId="Header">
    <w:name w:val="header"/>
    <w:basedOn w:val="Normal"/>
    <w:rsid w:val="00660552"/>
    <w:pPr>
      <w:tabs>
        <w:tab w:val="center" w:pos="4320"/>
        <w:tab w:val="right" w:pos="8640"/>
      </w:tabs>
    </w:pPr>
  </w:style>
  <w:style w:type="paragraph" w:styleId="Footer">
    <w:name w:val="footer"/>
    <w:basedOn w:val="Normal"/>
    <w:rsid w:val="007F5D9E"/>
    <w:pPr>
      <w:tabs>
        <w:tab w:val="center" w:pos="4320"/>
        <w:tab w:val="right" w:pos="8640"/>
      </w:tabs>
      <w:jc w:val="left"/>
    </w:pPr>
    <w:rPr>
      <w:rFonts w:ascii="Arial" w:hAnsi="Arial"/>
      <w:sz w:val="16"/>
    </w:rPr>
  </w:style>
  <w:style w:type="character" w:customStyle="1" w:styleId="SubtitleChar">
    <w:name w:val="Subtitle Char"/>
    <w:basedOn w:val="DefaultParagraphFont"/>
    <w:link w:val="Subtitle"/>
    <w:uiPriority w:val="11"/>
    <w:rsid w:val="00487D97"/>
    <w:rPr>
      <w:rFonts w:ascii="Tahoma" w:hAnsi="Tahoma"/>
      <w:color w:val="98A9B9"/>
      <w:sz w:val="36"/>
      <w:szCs w:val="36"/>
    </w:rPr>
  </w:style>
  <w:style w:type="paragraph" w:styleId="Title">
    <w:name w:val="Title"/>
    <w:basedOn w:val="Normal"/>
    <w:next w:val="Normal"/>
    <w:link w:val="TitleChar"/>
    <w:uiPriority w:val="10"/>
    <w:qFormat/>
    <w:rsid w:val="00487D97"/>
    <w:pPr>
      <w:spacing w:before="240" w:after="60" w:line="240" w:lineRule="auto"/>
      <w:jc w:val="left"/>
      <w:outlineLvl w:val="0"/>
    </w:pPr>
    <w:rPr>
      <w:b/>
      <w:bCs/>
      <w:color w:val="98A9B9"/>
      <w:kern w:val="28"/>
      <w:sz w:val="48"/>
      <w:szCs w:val="32"/>
      <w:lang w:val="en-US"/>
    </w:rPr>
  </w:style>
  <w:style w:type="character" w:customStyle="1" w:styleId="Heading2Char">
    <w:name w:val="Heading 2 Char"/>
    <w:basedOn w:val="DefaultParagraphFont"/>
    <w:link w:val="Heading2"/>
    <w:uiPriority w:val="9"/>
    <w:rsid w:val="00487D97"/>
    <w:rPr>
      <w:rFonts w:ascii="Tahoma" w:hAnsi="Tahoma"/>
      <w:b/>
      <w:bCs/>
      <w:iCs/>
      <w:color w:val="C0504D"/>
      <w:sz w:val="28"/>
      <w:szCs w:val="28"/>
      <w:lang w:val="nl-NL"/>
    </w:rPr>
  </w:style>
  <w:style w:type="character" w:styleId="PageNumber">
    <w:name w:val="page number"/>
    <w:basedOn w:val="DefaultParagraphFont"/>
    <w:rsid w:val="006D42E1"/>
  </w:style>
  <w:style w:type="character" w:styleId="Hyperlink">
    <w:name w:val="Hyperlink"/>
    <w:basedOn w:val="DefaultParagraphFont"/>
    <w:rsid w:val="00B63EE1"/>
    <w:rPr>
      <w:color w:val="0000FF"/>
      <w:u w:val="single"/>
    </w:rPr>
  </w:style>
  <w:style w:type="table" w:styleId="TableGrid">
    <w:name w:val="Table Grid"/>
    <w:basedOn w:val="TableNormal"/>
    <w:rsid w:val="00531F13"/>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uiPriority w:val="10"/>
    <w:rsid w:val="00487D97"/>
    <w:rPr>
      <w:rFonts w:ascii="Tahoma" w:hAnsi="Tahoma"/>
      <w:b/>
      <w:bCs/>
      <w:color w:val="98A9B9"/>
      <w:kern w:val="28"/>
      <w:sz w:val="48"/>
      <w:szCs w:val="32"/>
    </w:rPr>
  </w:style>
  <w:style w:type="character" w:customStyle="1" w:styleId="Heading3Char">
    <w:name w:val="Heading 3 Char"/>
    <w:basedOn w:val="DefaultParagraphFont"/>
    <w:link w:val="Heading3"/>
    <w:uiPriority w:val="9"/>
    <w:rsid w:val="00487D97"/>
    <w:rPr>
      <w:rFonts w:ascii="Tahoma" w:hAnsi="Tahoma"/>
      <w:b/>
      <w:bCs/>
      <w:sz w:val="26"/>
      <w:szCs w:val="26"/>
      <w:lang w:val="nl-NL"/>
    </w:rPr>
  </w:style>
  <w:style w:type="character" w:customStyle="1" w:styleId="Heading4Char">
    <w:name w:val="Heading 4 Char"/>
    <w:basedOn w:val="DefaultParagraphFont"/>
    <w:link w:val="Heading4"/>
    <w:uiPriority w:val="9"/>
    <w:rsid w:val="00487D97"/>
    <w:rPr>
      <w:rFonts w:ascii="Tahoma" w:hAnsi="Tahoma"/>
      <w:b/>
      <w:bCs/>
      <w:sz w:val="24"/>
      <w:szCs w:val="24"/>
      <w:lang w:val="nl-NL"/>
    </w:rPr>
  </w:style>
  <w:style w:type="character" w:customStyle="1" w:styleId="Heading1Char">
    <w:name w:val="Heading 1 Char"/>
    <w:basedOn w:val="DefaultParagraphFont"/>
    <w:link w:val="Heading1"/>
    <w:rsid w:val="00487D97"/>
    <w:rPr>
      <w:rFonts w:ascii="Tahoma" w:hAnsi="Tahoma" w:cs="Arial"/>
      <w:b/>
      <w:bCs/>
      <w:color w:val="C0504D"/>
      <w:kern w:val="32"/>
      <w:sz w:val="32"/>
      <w:szCs w:val="32"/>
    </w:rPr>
  </w:style>
  <w:style w:type="paragraph" w:customStyle="1" w:styleId="Type">
    <w:name w:val="Type"/>
    <w:basedOn w:val="Normal"/>
    <w:qFormat/>
    <w:rsid w:val="00EC7E6B"/>
    <w:pPr>
      <w:spacing w:after="0" w:line="240" w:lineRule="auto"/>
      <w:jc w:val="right"/>
    </w:pPr>
    <w:rPr>
      <w:rFonts w:ascii="Arial Black" w:hAnsi="Arial Black"/>
      <w:color w:val="98A9B9"/>
      <w:sz w:val="36"/>
      <w:szCs w:val="36"/>
      <w:lang w:val="nl-BE"/>
    </w:rPr>
  </w:style>
  <w:style w:type="paragraph" w:customStyle="1" w:styleId="Summary">
    <w:name w:val="Summary"/>
    <w:basedOn w:val="Normal"/>
    <w:qFormat/>
    <w:rsid w:val="00962429"/>
    <w:rPr>
      <w:b/>
    </w:rPr>
  </w:style>
  <w:style w:type="paragraph" w:styleId="NoSpacing">
    <w:name w:val="No Spacing"/>
    <w:uiPriority w:val="1"/>
    <w:qFormat/>
    <w:rsid w:val="007C0A85"/>
    <w:pPr>
      <w:jc w:val="both"/>
    </w:pPr>
    <w:rPr>
      <w:sz w:val="22"/>
      <w:szCs w:val="24"/>
    </w:rPr>
  </w:style>
  <w:style w:type="paragraph" w:customStyle="1" w:styleId="Metadata">
    <w:name w:val="Metadata"/>
    <w:basedOn w:val="Type"/>
    <w:qFormat/>
    <w:rsid w:val="00EC7E6B"/>
    <w:pPr>
      <w:spacing w:after="240" w:line="360" w:lineRule="atLeast"/>
    </w:pPr>
    <w:rPr>
      <w:rFonts w:ascii="Arial" w:hAnsi="Arial" w:cs="Arial"/>
      <w:color w:val="4C5E6A"/>
      <w:sz w:val="16"/>
      <w:szCs w:val="20"/>
      <w:lang w:val="fr-FR"/>
    </w:rPr>
  </w:style>
  <w:style w:type="paragraph" w:customStyle="1" w:styleId="Dossiernaam">
    <w:name w:val="Dossiernaam"/>
    <w:basedOn w:val="Subtitle"/>
    <w:link w:val="DossiernaamChar"/>
    <w:qFormat/>
    <w:rsid w:val="00EC7E6B"/>
    <w:pPr>
      <w:spacing w:after="120"/>
    </w:pPr>
    <w:rPr>
      <w:i/>
      <w:sz w:val="16"/>
      <w:szCs w:val="16"/>
    </w:rPr>
  </w:style>
  <w:style w:type="character" w:customStyle="1" w:styleId="DossiernaamChar">
    <w:name w:val="Dossiernaam Char"/>
    <w:basedOn w:val="SubtitleChar"/>
    <w:link w:val="Dossiernaam"/>
    <w:rsid w:val="00EC7E6B"/>
    <w:rPr>
      <w:rFonts w:ascii="Tahoma" w:hAnsi="Tahoma"/>
      <w:i/>
      <w:sz w:val="16"/>
      <w:szCs w:val="16"/>
    </w:rPr>
  </w:style>
  <w:style w:type="paragraph" w:styleId="BalloonText">
    <w:name w:val="Balloon Text"/>
    <w:basedOn w:val="Normal"/>
    <w:link w:val="BalloonTextChar"/>
    <w:uiPriority w:val="99"/>
    <w:semiHidden/>
    <w:unhideWhenUsed/>
    <w:rsid w:val="00096D1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096D1F"/>
    <w:rPr>
      <w:rFonts w:ascii="Tahoma" w:hAnsi="Tahoma" w:cs="Tahoma"/>
      <w:sz w:val="16"/>
      <w:szCs w:val="16"/>
    </w:rPr>
  </w:style>
  <w:style w:type="paragraph" w:customStyle="1" w:styleId="DataFebelfin">
    <w:name w:val="Data Febelfin"/>
    <w:basedOn w:val="Heading1"/>
    <w:link w:val="DataFebelfinChar"/>
    <w:qFormat/>
    <w:rsid w:val="00347E20"/>
    <w:pPr>
      <w:spacing w:after="0"/>
      <w:jc w:val="center"/>
    </w:pPr>
    <w:rPr>
      <w:b w:val="0"/>
      <w:color w:val="4C5E6A"/>
      <w:sz w:val="16"/>
      <w:szCs w:val="16"/>
    </w:rPr>
  </w:style>
  <w:style w:type="character" w:customStyle="1" w:styleId="DataFebelfinChar">
    <w:name w:val="Data Febelfin Char"/>
    <w:basedOn w:val="Heading1Char"/>
    <w:link w:val="DataFebelfin"/>
    <w:rsid w:val="00347E20"/>
    <w:rPr>
      <w:rFonts w:ascii="Tahoma" w:hAnsi="Tahoma"/>
      <w:bCs/>
      <w:color w:val="4C5E6A"/>
      <w:sz w:val="16"/>
      <w:szCs w:val="16"/>
      <w:lang w:val="nl-NL"/>
    </w:rPr>
  </w:style>
  <w:style w:type="paragraph" w:styleId="ListParagraph">
    <w:name w:val="List Paragraph"/>
    <w:basedOn w:val="Normal"/>
    <w:uiPriority w:val="34"/>
    <w:qFormat/>
    <w:rsid w:val="00D46A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F:\EXT\Templates\Others_Febelfin_n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Others_Febelfin_nl.dotx</Template>
  <TotalTime>23</TotalTime>
  <Pages>6</Pages>
  <Words>2231</Words>
  <Characters>11675</Characters>
  <Application>Microsoft Office Word</Application>
  <DocSecurity>0</DocSecurity>
  <Lines>97</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«PTA» «PFN» «PLN»</vt:lpstr>
      <vt:lpstr>Investor-Compensation Schemes Directive (ICSD)</vt:lpstr>
      <vt:lpstr>    BHB 3</vt:lpstr>
      <vt:lpstr>    Call for evidence European Commission  Febelfin contribution</vt:lpstr>
    </vt:vector>
  </TitlesOfParts>
  <Company>Belgian Bankers' Association</Company>
  <LinksUpToDate>false</LinksUpToDate>
  <CharactersWithSpaces>13879</CharactersWithSpaces>
  <SharedDoc>false</SharedDoc>
  <HLinks>
    <vt:vector size="6" baseType="variant">
      <vt:variant>
        <vt:i4>3145757</vt:i4>
      </vt:variant>
      <vt:variant>
        <vt:i4>3</vt:i4>
      </vt:variant>
      <vt:variant>
        <vt:i4>0</vt:i4>
      </vt:variant>
      <vt:variant>
        <vt:i4>5</vt:i4>
      </vt:variant>
      <vt:variant>
        <vt:lpwstr>mailto:xx@febelfin.be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«PTA» «PFN» «PLN»</dc:title>
  <dc:creator>DC</dc:creator>
  <cp:lastModifiedBy>DC</cp:lastModifiedBy>
  <cp:revision>10</cp:revision>
  <cp:lastPrinted>2009-03-27T15:21:00Z</cp:lastPrinted>
  <dcterms:created xsi:type="dcterms:W3CDTF">2009-04-07T11:34:00Z</dcterms:created>
  <dcterms:modified xsi:type="dcterms:W3CDTF">2009-04-07T14:44:00Z</dcterms:modified>
</cp:coreProperties>
</file>