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9C" w:rsidRPr="008E379C" w:rsidRDefault="008E379C" w:rsidP="008E379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E379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8E379C" w:rsidRPr="008E379C" w:rsidRDefault="008E379C" w:rsidP="008E379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E379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bookmarkStart w:id="0" w:name="_GoBack"/>
    <w:bookmarkEnd w:id="0"/>
    <w:p w:rsidR="008E379C" w:rsidRPr="008E379C" w:rsidRDefault="008E379C" w:rsidP="008E379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8E379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8E379C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"http://www.europarl.europa.eu" \o "Europarl" \t "_blank" </w:instrText>
      </w:r>
      <w:r w:rsidRPr="008E379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8E379C" w:rsidRPr="008E379C" w:rsidRDefault="008E379C" w:rsidP="008E3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8E379C" w:rsidRPr="008E379C" w:rsidRDefault="008E379C" w:rsidP="008E379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37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2008/0229(COD) - 31/03/2009 Vote in committee, 1st reading/single reading</w:t>
      </w:r>
    </w:p>
    <w:p w:rsidR="008E379C" w:rsidRPr="008E379C" w:rsidRDefault="008E379C" w:rsidP="008E37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79C">
        <w:rPr>
          <w:rFonts w:ascii="Times New Roman" w:eastAsia="Times New Roman" w:hAnsi="Times New Roman" w:cs="Times New Roman"/>
          <w:b/>
          <w:bCs/>
          <w:sz w:val="27"/>
          <w:szCs w:val="27"/>
        </w:rPr>
        <w:t>Summary</w:t>
      </w:r>
    </w:p>
    <w:p w:rsidR="008E379C" w:rsidRPr="008E379C" w:rsidRDefault="008E379C" w:rsidP="008E3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8E37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Print</w:t>
        </w:r>
      </w:hyperlink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The</w:t>
      </w:r>
      <w:r w:rsidRPr="008E37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Committee on</w:t>
      </w:r>
      <w:r w:rsidRPr="008E37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the Environment, Public Health and Food Safety adopted the report drawn up by </w:t>
      </w:r>
      <w:proofErr w:type="spellStart"/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Dimitrios</w:t>
      </w:r>
      <w:proofErr w:type="spellEnd"/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PAPADIMOULIS (GUE/NGL, EL) amending, under the first reading of the </w:t>
      </w:r>
      <w:proofErr w:type="spellStart"/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codecision</w:t>
      </w:r>
      <w:proofErr w:type="spellEnd"/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procedure, the proposal for a directive of the European Parliament and of the Council on Stage II petrol vapour recovery during refuelling of passenger cars at service stations.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The main amendments are as follows: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Definition of petrol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 the committee states that 'petrol' means petrol as defined in Article 2(a) of Directive 1994/63/EC, as opposed to Article 2(1) of Directive 98/70/EC. Members note that Definition must be the same as in Stage I PVR directive. As the two legal instruments will apply simultaneously to the same service station it is important that there is consistency in the legal approach.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Service stations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 all service stations situated under permanent living quarters or working areas which undergo a major refurbishment shall be equipped with a Stage II petrol vapour recovery system at the time of the refurbishment irrespective of their actual or intended throughput.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Member States shall ensure that any existing service station with a throughput in excess of 3000 m3 per annum shall be equipped with a Stage II petrol vapour recovery system by no later than 31 December 2018 (rather than 2020).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The committee stipulates that, by way of derogation, provisions on service stations shall not apply to service stations associated with the construction and delivery of new vehicles.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Minimum permitted level of petrol vapour recovery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 hydrocarbon capture efficiency of a Stage II petrol vapour recovery system must be equal to or greater than 90 % (rather than 85%).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Periodic inspection and compliance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 service station operators shall record details of all maintenance, inspections and testing, installation and repair work carried out for Stage II controls.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Furthermore, Members consider that when a service station has installed a Stage II petrol vapour recovery system, the operator of the service station shall display a sign, sticker or other 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lastRenderedPageBreak/>
        <w:t>notification to the effect that the service station is fitted with Stage II petrol vapour recovery equipment.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Penalties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 information on infringements of the provisions of this Directive shall be made public.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Reporting and review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 Member States shall report to the Commission on the implementation of this Directive within 24 months of the date of transposition and every 3 years thereafter. On the basis of these reports the Commission shall review the Directive considering especially the establishment of harmonised methods to measure the hydrocarbon capture efficiency.</w:t>
      </w:r>
    </w:p>
    <w:p w:rsidR="008E379C" w:rsidRPr="008E379C" w:rsidRDefault="008E379C" w:rsidP="008E3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Transposition and application</w:t>
      </w:r>
      <w:r w:rsidRPr="008E379C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 the deadline for these was brought forward by 1 year (to 2011).</w:t>
      </w:r>
    </w:p>
    <w:p w:rsidR="008E379C" w:rsidRPr="008E379C" w:rsidRDefault="008E379C" w:rsidP="008E3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Pr="008E37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Legal notice</w:t>
        </w:r>
      </w:hyperlink>
      <w:r w:rsidRPr="008E379C">
        <w:rPr>
          <w:rFonts w:ascii="Times New Roman" w:eastAsia="Times New Roman" w:hAnsi="Times New Roman" w:cs="Times New Roman"/>
          <w:sz w:val="24"/>
          <w:szCs w:val="24"/>
        </w:rPr>
        <w:t xml:space="preserve"> | Version 06.02.00 | Last update 11/01/2012 15:29</w:t>
      </w:r>
    </w:p>
    <w:p w:rsidR="00BA0D72" w:rsidRDefault="00BA0D72"/>
    <w:sectPr w:rsidR="00BA0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87B96"/>
    <w:multiLevelType w:val="multilevel"/>
    <w:tmpl w:val="F1E6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9C"/>
    <w:rsid w:val="008E379C"/>
    <w:rsid w:val="00BA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37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E37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7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E379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E379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E379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E379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E379C"/>
    <w:rPr>
      <w:rFonts w:ascii="Arial" w:eastAsia="Times New Roman" w:hAnsi="Arial" w:cs="Arial"/>
      <w:vanish/>
      <w:sz w:val="16"/>
      <w:szCs w:val="16"/>
    </w:rPr>
  </w:style>
  <w:style w:type="character" w:customStyle="1" w:styleId="hidden">
    <w:name w:val="hidden"/>
    <w:basedOn w:val="DefaultParagraphFont"/>
    <w:rsid w:val="008E379C"/>
  </w:style>
  <w:style w:type="character" w:styleId="Hyperlink">
    <w:name w:val="Hyperlink"/>
    <w:basedOn w:val="DefaultParagraphFont"/>
    <w:uiPriority w:val="99"/>
    <w:semiHidden/>
    <w:unhideWhenUsed/>
    <w:rsid w:val="008E37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37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E37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7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E379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E379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E379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E379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E379C"/>
    <w:rPr>
      <w:rFonts w:ascii="Arial" w:eastAsia="Times New Roman" w:hAnsi="Arial" w:cs="Arial"/>
      <w:vanish/>
      <w:sz w:val="16"/>
      <w:szCs w:val="16"/>
    </w:rPr>
  </w:style>
  <w:style w:type="character" w:customStyle="1" w:styleId="hidden">
    <w:name w:val="hidden"/>
    <w:basedOn w:val="DefaultParagraphFont"/>
    <w:rsid w:val="008E379C"/>
  </w:style>
  <w:style w:type="character" w:styleId="Hyperlink">
    <w:name w:val="Hyperlink"/>
    <w:basedOn w:val="DefaultParagraphFont"/>
    <w:uiPriority w:val="99"/>
    <w:semiHidden/>
    <w:unhideWhenUsed/>
    <w:rsid w:val="008E37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6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1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uroparl.europa.eu/tools/disclaimer/default_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parl.europa.eu/oeil/popups/printsummary.pdf?id=1062732&amp;l=en&amp;t=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csc6q</dc:creator>
  <cp:lastModifiedBy>csc6q</cp:lastModifiedBy>
  <cp:revision>1</cp:revision>
  <dcterms:created xsi:type="dcterms:W3CDTF">2012-01-11T15:54:00Z</dcterms:created>
  <dcterms:modified xsi:type="dcterms:W3CDTF">2012-01-11T15:55:00Z</dcterms:modified>
</cp:coreProperties>
</file>